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26CAFB99"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3052E3">
        <w:t>12</w:t>
      </w:r>
      <w:r w:rsidR="004918A2">
        <w:t>2</w:t>
      </w:r>
      <w:r w:rsidRPr="00CE0424">
        <w:tab/>
      </w:r>
      <w:proofErr w:type="spellStart"/>
      <w:r w:rsidRPr="00CE0424">
        <w:rPr>
          <w:sz w:val="32"/>
          <w:szCs w:val="32"/>
        </w:rPr>
        <w:t>Tdoc</w:t>
      </w:r>
      <w:proofErr w:type="spellEnd"/>
      <w:r w:rsidRPr="00CE0424">
        <w:rPr>
          <w:sz w:val="32"/>
          <w:szCs w:val="32"/>
        </w:rPr>
        <w:t xml:space="preserve"> </w:t>
      </w:r>
      <w:r w:rsidR="00D36C42" w:rsidRPr="00D36C42">
        <w:rPr>
          <w:sz w:val="32"/>
          <w:szCs w:val="32"/>
        </w:rPr>
        <w:t>R2-2305868</w:t>
      </w:r>
    </w:p>
    <w:p w14:paraId="188EE8B8" w14:textId="30DBE71A" w:rsidR="00650B09" w:rsidRPr="00CE0424" w:rsidRDefault="004918A2" w:rsidP="00650B09">
      <w:pPr>
        <w:pStyle w:val="3GPPHeader"/>
      </w:pPr>
      <w:r>
        <w:t>Incheon, Korea,</w:t>
      </w:r>
      <w:r w:rsidR="00650B09">
        <w:t xml:space="preserve"> </w:t>
      </w:r>
      <w:r>
        <w:t>May</w:t>
      </w:r>
      <w:r w:rsidR="004E0BAF">
        <w:t xml:space="preserve"> 22</w:t>
      </w:r>
      <w:r w:rsidR="004E0BAF" w:rsidRPr="0054364E">
        <w:rPr>
          <w:vertAlign w:val="superscript"/>
        </w:rPr>
        <w:t>nd</w:t>
      </w:r>
      <w:r w:rsidR="004E0BAF">
        <w:t>-26</w:t>
      </w:r>
      <w:r w:rsidR="004E0BAF" w:rsidRPr="0054364E">
        <w:rPr>
          <w:vertAlign w:val="superscript"/>
        </w:rPr>
        <w:t>th</w:t>
      </w:r>
      <w:r w:rsidR="004E0BAF">
        <w:t>,</w:t>
      </w:r>
      <w:r w:rsidR="00650B09">
        <w:t xml:space="preserve"> </w:t>
      </w:r>
      <w:r w:rsidR="00650B09" w:rsidRPr="00631CA0">
        <w:t>20</w:t>
      </w:r>
      <w:r w:rsidR="00650B09">
        <w:t>23</w:t>
      </w:r>
    </w:p>
    <w:p w14:paraId="0AA699BF" w14:textId="77777777" w:rsidR="00E90E49" w:rsidRPr="00CE0424" w:rsidRDefault="00E90E49" w:rsidP="00357380">
      <w:pPr>
        <w:pStyle w:val="3GPPHeader"/>
      </w:pPr>
    </w:p>
    <w:p w14:paraId="3464E77D" w14:textId="404604C9"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1A051C" w:rsidRPr="00C14C05">
        <w:rPr>
          <w:sz w:val="22"/>
          <w:szCs w:val="22"/>
        </w:rPr>
        <w:t>7</w:t>
      </w:r>
      <w:r w:rsidR="00B53718" w:rsidRPr="00C14C05">
        <w:rPr>
          <w:sz w:val="22"/>
          <w:szCs w:val="22"/>
        </w:rPr>
        <w:t>.8</w:t>
      </w:r>
      <w:r w:rsidR="000215E9" w:rsidRPr="00C14C05">
        <w:rPr>
          <w:sz w:val="22"/>
          <w:szCs w:val="22"/>
        </w:rPr>
        <w:t>.</w:t>
      </w:r>
      <w:r w:rsidR="0041494D" w:rsidRPr="00C14C05">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DD3A1FE"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080397">
        <w:rPr>
          <w:sz w:val="22"/>
          <w:szCs w:val="22"/>
        </w:rPr>
        <w:t>UAV m</w:t>
      </w:r>
      <w:r w:rsidR="005273C2">
        <w:rPr>
          <w:sz w:val="22"/>
          <w:szCs w:val="22"/>
        </w:rPr>
        <w:t xml:space="preserve">easurement reports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57E80A32" w:rsidR="000D1EE0" w:rsidRDefault="00A15A3B" w:rsidP="00B34419">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7D6AFC">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1BB93700" w14:textId="2EEC4A7C"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4EE32BF4" w14:textId="7994662B" w:rsidR="00A839CC" w:rsidRDefault="00A839CC" w:rsidP="000D1EE0">
      <w:r>
        <w:t>In RAN2</w:t>
      </w:r>
      <w:r w:rsidR="00364B5C">
        <w:t>#</w:t>
      </w:r>
      <w:r>
        <w:t>119</w:t>
      </w:r>
      <w:r w:rsidR="00C33A9C">
        <w:t xml:space="preserve">e, the following agreements are made related to </w:t>
      </w:r>
      <w:r w:rsidR="00F04BC1">
        <w:t>enhancement for measurement reports in NR</w:t>
      </w:r>
      <w:r w:rsidR="00C93CEA">
        <w:t>:</w:t>
      </w:r>
    </w:p>
    <w:tbl>
      <w:tblPr>
        <w:tblStyle w:val="TableGrid"/>
        <w:tblW w:w="0" w:type="auto"/>
        <w:tblLook w:val="04A0" w:firstRow="1" w:lastRow="0" w:firstColumn="1" w:lastColumn="0" w:noHBand="0" w:noVBand="1"/>
      </w:tblPr>
      <w:tblGrid>
        <w:gridCol w:w="9629"/>
      </w:tblGrid>
      <w:tr w:rsidR="00F5667E" w14:paraId="391F8924" w14:textId="77777777" w:rsidTr="001450AE">
        <w:tc>
          <w:tcPr>
            <w:tcW w:w="9629" w:type="dxa"/>
          </w:tcPr>
          <w:p w14:paraId="618EB6FA" w14:textId="77777777" w:rsidR="004C30DF" w:rsidRPr="006F3ADA" w:rsidRDefault="004C30DF" w:rsidP="004C30DF">
            <w:pPr>
              <w:rPr>
                <w:b/>
              </w:rPr>
            </w:pPr>
            <w:r w:rsidRPr="006F3ADA">
              <w:rPr>
                <w:b/>
              </w:rPr>
              <w:t>Agreements</w:t>
            </w:r>
          </w:p>
          <w:p w14:paraId="3B0E74BB" w14:textId="57326E26" w:rsidR="004C30DF" w:rsidRPr="006F3ADA" w:rsidRDefault="004C30DF" w:rsidP="00DC680A">
            <w:pPr>
              <w:pStyle w:val="ListParagraph"/>
              <w:numPr>
                <w:ilvl w:val="0"/>
                <w:numId w:val="1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w:t>
            </w:r>
            <w:proofErr w:type="gramStart"/>
            <w:r w:rsidRPr="006F3ADA">
              <w:rPr>
                <w:bCs/>
              </w:rPr>
              <w:t>e.g.</w:t>
            </w:r>
            <w:proofErr w:type="gramEnd"/>
            <w:r w:rsidRPr="006F3ADA">
              <w:rPr>
                <w:bCs/>
              </w:rPr>
              <w:t xml:space="preserve"> which parameters and what is the purpose/benefit of the scaling and how)</w:t>
            </w:r>
          </w:p>
          <w:p w14:paraId="34A0F098" w14:textId="77777777" w:rsidR="004C30DF" w:rsidRPr="004C30DF" w:rsidRDefault="004C30DF" w:rsidP="004C30DF">
            <w:pPr>
              <w:rPr>
                <w:bCs/>
              </w:rPr>
            </w:pPr>
            <w:r w:rsidRPr="004C30DF">
              <w:rPr>
                <w:bCs/>
              </w:rPr>
              <w:t xml:space="preserve">FFS how to limit excessive measurements and measurement reporting </w:t>
            </w:r>
          </w:p>
          <w:p w14:paraId="1D3AB5B6" w14:textId="77777777" w:rsidR="004C30DF" w:rsidRPr="004C30DF" w:rsidRDefault="004C30DF" w:rsidP="004C30DF">
            <w:pPr>
              <w:rPr>
                <w:bCs/>
              </w:rPr>
            </w:pPr>
            <w:r w:rsidRPr="004C30DF">
              <w:rPr>
                <w:bCs/>
              </w:rPr>
              <w:t>FFS if user consent is needed for location reporting in CONNECTED</w:t>
            </w:r>
          </w:p>
          <w:p w14:paraId="7059CD53" w14:textId="77777777" w:rsidR="004C30DF" w:rsidRPr="004C30DF" w:rsidRDefault="004C30DF" w:rsidP="004C30DF">
            <w:pPr>
              <w:rPr>
                <w:bCs/>
              </w:rPr>
            </w:pPr>
            <w:r w:rsidRPr="004C30DF">
              <w:rPr>
                <w:bCs/>
              </w:rPr>
              <w:t>FFS study the vertical movement and associated mobility for UAV UEs</w:t>
            </w:r>
          </w:p>
          <w:p w14:paraId="4026CA8F" w14:textId="44B89B6B" w:rsidR="004C30DF" w:rsidRPr="004C30DF" w:rsidRDefault="004C30DF" w:rsidP="00DC680A">
            <w:pPr>
              <w:pStyle w:val="ListParagraph"/>
              <w:numPr>
                <w:ilvl w:val="0"/>
                <w:numId w:val="11"/>
              </w:numPr>
              <w:rPr>
                <w:bCs/>
              </w:rPr>
            </w:pPr>
            <w:r w:rsidRPr="004C30DF">
              <w:rPr>
                <w:bCs/>
              </w:rPr>
              <w:t xml:space="preserve">Rel-18 NR supports reporting of UAV UE’s height, </w:t>
            </w:r>
            <w:proofErr w:type="gramStart"/>
            <w:r w:rsidRPr="004C30DF">
              <w:rPr>
                <w:bCs/>
              </w:rPr>
              <w:t>location</w:t>
            </w:r>
            <w:proofErr w:type="gramEnd"/>
            <w:r w:rsidRPr="004C30DF">
              <w:rPr>
                <w:bCs/>
              </w:rPr>
              <w:t xml:space="preserve"> and velocity. It is for further study what accuracy and reporting mechanisms are required and if further enhancements are needed.  </w:t>
            </w:r>
          </w:p>
          <w:p w14:paraId="2B35AEE3" w14:textId="07EBB38A" w:rsidR="004C30DF" w:rsidRPr="004C30DF" w:rsidRDefault="004C30DF" w:rsidP="00DC680A">
            <w:pPr>
              <w:pStyle w:val="ListParagraph"/>
              <w:numPr>
                <w:ilvl w:val="0"/>
                <w:numId w:val="11"/>
              </w:numPr>
              <w:rPr>
                <w:bCs/>
              </w:rPr>
            </w:pPr>
            <w:r w:rsidRPr="004C30DF">
              <w:rPr>
                <w:bCs/>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46D1DDE" w14:textId="34EC22CF" w:rsidR="00F5667E" w:rsidRPr="00B235F8" w:rsidRDefault="004C30DF" w:rsidP="00DC680A">
            <w:pPr>
              <w:pStyle w:val="ListParagraph"/>
              <w:numPr>
                <w:ilvl w:val="0"/>
                <w:numId w:val="11"/>
              </w:numPr>
              <w:rPr>
                <w:bCs/>
              </w:rPr>
            </w:pPr>
            <w:r w:rsidRPr="004C30DF">
              <w:rPr>
                <w:bCs/>
              </w:rPr>
              <w:t>Introduce similar functionality to LTE (</w:t>
            </w:r>
            <w:proofErr w:type="spellStart"/>
            <w:r w:rsidRPr="004C30DF">
              <w:rPr>
                <w:bCs/>
              </w:rPr>
              <w:t>numberofTriggeringCells</w:t>
            </w:r>
            <w:proofErr w:type="spellEnd"/>
            <w:r w:rsidRPr="004C30DF">
              <w:rPr>
                <w:bCs/>
              </w:rPr>
              <w:t xml:space="preserve">).  FFS whether </w:t>
            </w:r>
            <w:proofErr w:type="spellStart"/>
            <w:r w:rsidRPr="004C30DF">
              <w:rPr>
                <w:bCs/>
              </w:rPr>
              <w:t>numberoftriggerbeams</w:t>
            </w:r>
            <w:proofErr w:type="spellEnd"/>
            <w:r w:rsidRPr="004C30DF">
              <w:rPr>
                <w:bCs/>
              </w:rPr>
              <w:t xml:space="preserve"> for NR is required or other enhancements.  FFS study how to avoid sending the measurement reports mainly due to </w:t>
            </w:r>
            <w:proofErr w:type="spellStart"/>
            <w:r w:rsidRPr="004C30DF">
              <w:rPr>
                <w:bCs/>
              </w:rPr>
              <w:t>reportOnLeave</w:t>
            </w:r>
            <w:proofErr w:type="spellEnd"/>
            <w:r w:rsidRPr="004C30DF">
              <w:rPr>
                <w:bCs/>
              </w:rPr>
              <w:t>.</w:t>
            </w:r>
          </w:p>
        </w:tc>
      </w:tr>
    </w:tbl>
    <w:p w14:paraId="3950911B" w14:textId="77777777" w:rsidR="00C93CEA" w:rsidRDefault="00C93CEA"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bookmarkStart w:id="1" w:name="_Hlk126828526"/>
            <w:r w:rsidRPr="00B35384">
              <w:rPr>
                <w:b/>
                <w:bCs/>
              </w:rPr>
              <w:t>Agreements:</w:t>
            </w:r>
          </w:p>
          <w:p w14:paraId="5CFE9D3F" w14:textId="358357C3" w:rsidR="00382775" w:rsidRDefault="00382775" w:rsidP="00DC680A">
            <w:pPr>
              <w:pStyle w:val="Doc-text2"/>
              <w:numPr>
                <w:ilvl w:val="0"/>
                <w:numId w:val="12"/>
              </w:numPr>
              <w:tabs>
                <w:tab w:val="clear" w:pos="1622"/>
              </w:tabs>
              <w:ind w:left="314" w:hanging="287"/>
            </w:pPr>
            <w:r>
              <w:lastRenderedPageBreak/>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DC680A">
            <w:pPr>
              <w:pStyle w:val="Doc-text2"/>
              <w:numPr>
                <w:ilvl w:val="0"/>
                <w:numId w:val="12"/>
              </w:numPr>
              <w:tabs>
                <w:tab w:val="clear" w:pos="1622"/>
              </w:tabs>
              <w:ind w:left="314" w:hanging="287"/>
            </w:pPr>
            <w:r>
              <w:t xml:space="preserve">Allow the flight path to be updated. FFS on the details. </w:t>
            </w:r>
          </w:p>
          <w:p w14:paraId="665706F8" w14:textId="77777777" w:rsidR="00382775" w:rsidRDefault="00382775" w:rsidP="00DC680A">
            <w:pPr>
              <w:pStyle w:val="Doc-text2"/>
              <w:numPr>
                <w:ilvl w:val="0"/>
                <w:numId w:val="12"/>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33B33442" w14:textId="77777777" w:rsidR="00382775" w:rsidRDefault="00382775" w:rsidP="00DC680A">
            <w:pPr>
              <w:pStyle w:val="Doc-text2"/>
              <w:numPr>
                <w:ilvl w:val="0"/>
                <w:numId w:val="12"/>
              </w:numPr>
              <w:tabs>
                <w:tab w:val="clear" w:pos="1622"/>
              </w:tabs>
              <w:ind w:left="314" w:hanging="287"/>
            </w:pPr>
            <w:r>
              <w:t>Continue to study height-</w:t>
            </w:r>
            <w:proofErr w:type="gramStart"/>
            <w:r>
              <w:t>depending</w:t>
            </w:r>
            <w:proofErr w:type="gramEnd"/>
            <w:r>
              <w:t xml:space="preserve"> scaling, triggering and </w:t>
            </w:r>
            <w:r w:rsidRPr="00A647DE">
              <w:t>combinations</w:t>
            </w:r>
          </w:p>
          <w:p w14:paraId="41999C57" w14:textId="6901DA5D" w:rsidR="00382775" w:rsidRDefault="00382775" w:rsidP="00DC680A">
            <w:pPr>
              <w:pStyle w:val="Doc-text2"/>
              <w:numPr>
                <w:ilvl w:val="0"/>
                <w:numId w:val="12"/>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bookmarkEnd w:id="1"/>
    </w:tbl>
    <w:p w14:paraId="291F4CAF" w14:textId="77777777" w:rsidR="00E45F8B" w:rsidRDefault="00E45F8B" w:rsidP="004C10B1">
      <w:pPr>
        <w:rPr>
          <w:lang w:val="en-GB"/>
        </w:rPr>
      </w:pPr>
    </w:p>
    <w:p w14:paraId="7D7C0FC7" w14:textId="77777777" w:rsidR="007B0A69" w:rsidRDefault="007B0A69" w:rsidP="007B0A69">
      <w:pPr>
        <w:rPr>
          <w:lang w:val="en-GB"/>
        </w:rPr>
      </w:pPr>
      <w:r>
        <w:rPr>
          <w:lang w:val="en-GB"/>
        </w:rPr>
        <w:t>In RAN2#121, the following agreements were made to enhance the measurement report for mobility and interference control:</w:t>
      </w:r>
    </w:p>
    <w:p w14:paraId="3EA99716" w14:textId="338E2B73" w:rsidR="00646F5C" w:rsidRPr="00C14C05" w:rsidRDefault="00646F5C" w:rsidP="00C14C0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r w:rsidRPr="00930471">
        <w:rPr>
          <w:b/>
          <w:bCs/>
        </w:rPr>
        <w:t>Agreements:</w:t>
      </w:r>
    </w:p>
    <w:p w14:paraId="2002112B" w14:textId="68026355"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pPr>
      <w:r w:rsidRPr="002C564D">
        <w:t>When event H1 or H2 triggers, the content of the measurement report is configurable by the network (</w:t>
      </w:r>
      <w:proofErr w:type="gramStart"/>
      <w:r w:rsidRPr="002C564D">
        <w:t>i.e.</w:t>
      </w:r>
      <w:proofErr w:type="gramEnd"/>
      <w:r w:rsidRPr="002C564D">
        <w:t xml:space="preserve"> it can contain UAV UEs height, location information and</w:t>
      </w:r>
      <w:r>
        <w:t xml:space="preserve">/or </w:t>
      </w:r>
      <w:r w:rsidRPr="002C564D">
        <w:t xml:space="preserve">RSRP/RSRQ measurement results). FFS whether UAV UE’s height is mandatorily </w:t>
      </w:r>
      <w:proofErr w:type="gramStart"/>
      <w:r w:rsidRPr="002C564D">
        <w:t>reported</w:t>
      </w:r>
      <w:proofErr w:type="gramEnd"/>
      <w:r w:rsidRPr="002C564D">
        <w:t xml:space="preserve"> and which parameter/IE is used for height reporting. </w:t>
      </w:r>
    </w:p>
    <w:p w14:paraId="0A5950D4" w14:textId="77777777" w:rsidR="007B0A69" w:rsidRPr="00C14C05"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bookmarkStart w:id="2" w:name="_Hlk131590702"/>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bookmarkEnd w:id="2"/>
    <w:p w14:paraId="1F7E7CF4"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265746">
        <w:t>Height-dependent parameter scaling is not supported as a part of Rel-18 NR</w:t>
      </w:r>
    </w:p>
    <w:p w14:paraId="528C6F5C"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Do not extend the Number of triggering cells mechanism to apply to the inter-RAT scenario, </w:t>
      </w:r>
      <w:proofErr w:type="gramStart"/>
      <w:r>
        <w:t>i.e.</w:t>
      </w:r>
      <w:proofErr w:type="gramEnd"/>
      <w:r>
        <w:t xml:space="preserve"> event B1 and B2 triggering</w:t>
      </w:r>
    </w:p>
    <w:p w14:paraId="70990AA4"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Do not restrict the applicability of Number of triggering cells mechanism to FR1 only. In other words, the Number of triggering cells mechanism is applicable to FR1 and FR2 (up to network configuration).  </w:t>
      </w:r>
    </w:p>
    <w:p w14:paraId="3A3A16D6"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The UE shall not ignore or bypass the Number of triggering cells mechanism, once configured.</w:t>
      </w:r>
    </w:p>
    <w:p w14:paraId="618AE0E3"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Do not introduce the use of a “</w:t>
      </w:r>
      <w:proofErr w:type="spellStart"/>
      <w:r>
        <w:t>numberOfTriggeringBeams</w:t>
      </w:r>
      <w:proofErr w:type="spellEnd"/>
      <w:r>
        <w:t>” mechanism.</w:t>
      </w:r>
    </w:p>
    <w:p w14:paraId="27E259CE" w14:textId="77777777" w:rsidR="007B0A69" w:rsidRPr="00C819C1"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alternative mechanism to the Number of triggering cells mechanism. </w:t>
      </w:r>
    </w:p>
    <w:p w14:paraId="319BF88C" w14:textId="77777777" w:rsidR="007B0A69" w:rsidRPr="00C819C1"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additional mechanism based on Number of changed cells. </w:t>
      </w:r>
    </w:p>
    <w:p w14:paraId="479ADBFD"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For the purpose of interference control (</w:t>
      </w:r>
      <w:proofErr w:type="gramStart"/>
      <w:r>
        <w:t>i.e.</w:t>
      </w:r>
      <w:proofErr w:type="gramEnd"/>
      <w:r>
        <w:t xml:space="preserve"> for number of trigger cells), do not introduce a prohibit timer mechanism. </w:t>
      </w:r>
    </w:p>
    <w:p w14:paraId="1AF65D8B"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Report on leave is not triggered by a cell that was not previously included in the measurement report for the number of triggering cell.  </w:t>
      </w:r>
    </w:p>
    <w:p w14:paraId="786F4ECC" w14:textId="77777777" w:rsidR="007B0A69" w:rsidRDefault="007B0A69" w:rsidP="007B0A69">
      <w:r>
        <w:t>Another agreement was made for “more than a single config, each for a specific height region” as follows:</w:t>
      </w:r>
    </w:p>
    <w:p w14:paraId="4AA01CEE" w14:textId="16266042" w:rsidR="009B24F9" w:rsidRPr="00C14C05" w:rsidRDefault="009B24F9" w:rsidP="00C14C0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bookmarkStart w:id="3" w:name="OLE_LINK4"/>
      <w:r w:rsidRPr="00C14C05">
        <w:rPr>
          <w:b/>
          <w:bCs/>
        </w:rPr>
        <w:t>Agreements:</w:t>
      </w:r>
    </w:p>
    <w:p w14:paraId="5CCFF69F" w14:textId="22E51D41" w:rsidR="007B0A69" w:rsidRPr="00311C27" w:rsidRDefault="007B0A69" w:rsidP="00DC680A">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pPr>
      <w:r w:rsidRPr="002C1691">
        <w:t xml:space="preserve">Support configuring height-dependent more-than-one configurations targeting measurement and measurement reporting enhancement. </w:t>
      </w:r>
      <w:bookmarkEnd w:id="3"/>
      <w:r w:rsidRPr="002C1691">
        <w:t>UE applies corresponding configuration based on the UE height. The proposed solutions should aim at avoiding RAN4 impacts. FFS how this would be configured (</w:t>
      </w:r>
      <w:proofErr w:type="gramStart"/>
      <w:r w:rsidRPr="002C1691">
        <w:t>i.e.</w:t>
      </w:r>
      <w:proofErr w:type="gramEnd"/>
      <w:r w:rsidRPr="002C1691">
        <w:t xml:space="preserve"> different MO configurations or different parameters</w:t>
      </w:r>
      <w:r>
        <w:t xml:space="preserve">. </w:t>
      </w:r>
      <w:r w:rsidRPr="002C1691">
        <w:t>FFS Exact parameters and details.</w:t>
      </w:r>
    </w:p>
    <w:p w14:paraId="0909715A" w14:textId="69DBB4C4" w:rsidR="007B0A69" w:rsidRDefault="007B0A69" w:rsidP="004C10B1">
      <w:pPr>
        <w:rPr>
          <w:lang w:val="en-GB"/>
        </w:rPr>
      </w:pPr>
    </w:p>
    <w:p w14:paraId="4F719210" w14:textId="1E9BC89F" w:rsidR="004918A2" w:rsidRDefault="004918A2" w:rsidP="004918A2">
      <w:pPr>
        <w:rPr>
          <w:lang w:val="en-GB"/>
        </w:rPr>
      </w:pPr>
      <w:r>
        <w:rPr>
          <w:lang w:val="en-GB"/>
        </w:rPr>
        <w:t>In RAN2#121bis, the following agreements were made</w:t>
      </w:r>
      <w:r w:rsidR="00244963">
        <w:rPr>
          <w:lang w:val="en-GB"/>
        </w:rPr>
        <w:t>:</w:t>
      </w:r>
    </w:p>
    <w:p w14:paraId="52FD4DC6" w14:textId="77777777" w:rsidR="004918A2" w:rsidRDefault="004918A2" w:rsidP="004918A2">
      <w:pPr>
        <w:pStyle w:val="Doc-text2"/>
      </w:pPr>
    </w:p>
    <w:p w14:paraId="5A9D763A" w14:textId="77777777" w:rsidR="004918A2" w:rsidRPr="00D947FC" w:rsidRDefault="004918A2" w:rsidP="0054364E">
      <w:pPr>
        <w:pStyle w:val="Doc-text2"/>
        <w:pBdr>
          <w:top w:val="single" w:sz="4" w:space="1" w:color="auto"/>
          <w:left w:val="single" w:sz="4" w:space="4" w:color="auto"/>
          <w:bottom w:val="single" w:sz="4" w:space="1" w:color="auto"/>
          <w:right w:val="single" w:sz="4" w:space="4" w:color="auto"/>
        </w:pBdr>
        <w:tabs>
          <w:tab w:val="clear" w:pos="1622"/>
          <w:tab w:val="left" w:pos="900"/>
        </w:tabs>
        <w:ind w:left="360" w:hanging="360"/>
        <w:rPr>
          <w:b/>
          <w:bCs/>
        </w:rPr>
      </w:pPr>
      <w:r w:rsidRPr="00D947FC">
        <w:rPr>
          <w:b/>
          <w:bCs/>
        </w:rPr>
        <w:t>Agreements</w:t>
      </w:r>
    </w:p>
    <w:p w14:paraId="65CD6BFB"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0C0FE9">
        <w:t>Height-dependent more-than-one configurations is supported on parameter/field level (</w:t>
      </w:r>
      <w:proofErr w:type="gramStart"/>
      <w:r w:rsidRPr="000C0FE9">
        <w:t>i.e.</w:t>
      </w:r>
      <w:proofErr w:type="gramEnd"/>
      <w:r w:rsidRPr="000C0FE9">
        <w:t xml:space="preserve"> different fields/values within the same MO) where different values (or value ranges) of the parameter/field applies to different height or height range.</w:t>
      </w:r>
    </w:p>
    <w:p w14:paraId="14B45F04"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Details on how to specify is FFS</w:t>
      </w:r>
      <w:r>
        <w:t xml:space="preserve">.    </w:t>
      </w:r>
      <w:r w:rsidRPr="002C6AA9">
        <w:t>FFS on UE behavior on L1 and L3 measurement</w:t>
      </w:r>
      <w:r>
        <w:t xml:space="preserve">.  </w:t>
      </w:r>
    </w:p>
    <w:p w14:paraId="66ADE655"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i/>
          <w:iCs/>
        </w:rPr>
      </w:pPr>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w:t>
      </w:r>
      <w:proofErr w:type="spellStart"/>
      <w:r>
        <w:t>numberoftriggeringcells</w:t>
      </w:r>
      <w:proofErr w:type="spellEnd"/>
      <w:r w:rsidRPr="00CC13DD">
        <w:t>.</w:t>
      </w:r>
      <w:r w:rsidRPr="00DF3A14">
        <w:rPr>
          <w:i/>
          <w:iCs/>
        </w:rPr>
        <w:t xml:space="preserve">  Details on how to specify is FFS (</w:t>
      </w:r>
      <w:proofErr w:type="gramStart"/>
      <w:r w:rsidRPr="00DF3A14">
        <w:rPr>
          <w:i/>
          <w:iCs/>
        </w:rPr>
        <w:t>i.e.</w:t>
      </w:r>
      <w:proofErr w:type="gramEnd"/>
      <w:r w:rsidRPr="00DF3A14">
        <w:rPr>
          <w:i/>
          <w:iCs/>
        </w:rPr>
        <w:t xml:space="preserve"> maybe it can be achieved by combination of events).   </w:t>
      </w:r>
    </w:p>
    <w:p w14:paraId="386A2877"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6E3D1A">
        <w:t xml:space="preserve">When height-dependent more-than-one configurations are provided, UE applies the new value once it moves to new height (or height range) </w:t>
      </w:r>
      <w:proofErr w:type="gramStart"/>
      <w:r w:rsidRPr="006E3D1A">
        <w:t>similar to</w:t>
      </w:r>
      <w:proofErr w:type="gramEnd"/>
      <w:r w:rsidRPr="006E3D1A">
        <w:t xml:space="preserve"> the case of RRC reconfiguration. Need Codes, field descriptions, etc. as in legacy specifications apply</w:t>
      </w:r>
    </w:p>
    <w:p w14:paraId="5B9F320C" w14:textId="4E1B38CA" w:rsidR="004918A2" w:rsidRPr="006E3D1A"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D947FC">
        <w:t>If a height-specific value is not explicitly configured for certain height, whether to keep using the value that was used or consider the parameter as released (</w:t>
      </w:r>
      <w:proofErr w:type="gramStart"/>
      <w:r w:rsidRPr="00D947FC">
        <w:t>i.e.</w:t>
      </w:r>
      <w:proofErr w:type="gramEnd"/>
      <w:r w:rsidRPr="00D947FC">
        <w:t xml:space="preserve"> parameter/value not applicable at this height) should be looked into case by case, and can be clarified by need code, field description, or procedural text as needed.</w:t>
      </w:r>
      <w:r>
        <w:t xml:space="preserve">   FFS details</w:t>
      </w:r>
    </w:p>
    <w:p w14:paraId="054FE7E1" w14:textId="77777777" w:rsidR="004918A2" w:rsidRDefault="004918A2" w:rsidP="004918A2">
      <w:pPr>
        <w:rPr>
          <w:lang w:val="en-GB"/>
        </w:rPr>
      </w:pPr>
    </w:p>
    <w:p w14:paraId="54D457E0" w14:textId="53DA460E"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these agreements</w:t>
      </w:r>
      <w:r w:rsidR="00C93CEA">
        <w:rPr>
          <w:lang w:val="en-GB"/>
        </w:rPr>
        <w:t xml:space="preserve"> and related FFS</w:t>
      </w:r>
      <w:r w:rsidR="00A00310">
        <w:rPr>
          <w:lang w:val="en-GB"/>
        </w:rPr>
        <w:t xml:space="preserve"> about </w:t>
      </w:r>
      <w:r w:rsidR="007759A7">
        <w:rPr>
          <w:lang w:val="en-GB"/>
        </w:rPr>
        <w:t>measurement report enhancement for UAV UE</w:t>
      </w:r>
      <w:r w:rsidR="00CA1EC2">
        <w:rPr>
          <w:lang w:val="en-GB"/>
        </w:rPr>
        <w:t xml:space="preserve"> in NR</w:t>
      </w:r>
      <w:r w:rsidR="004C10B1">
        <w:rPr>
          <w:lang w:val="en-GB"/>
        </w:rPr>
        <w:t>.</w:t>
      </w:r>
      <w:r w:rsidR="00CA751C">
        <w:rPr>
          <w:lang w:val="en-GB"/>
        </w:rPr>
        <w:t xml:space="preserve"> </w:t>
      </w:r>
    </w:p>
    <w:p w14:paraId="5E7638F8" w14:textId="77777777" w:rsidR="004131A1" w:rsidRPr="006602F7" w:rsidRDefault="004131A1" w:rsidP="004131A1">
      <w:pPr>
        <w:pStyle w:val="Proposal"/>
      </w:pPr>
    </w:p>
    <w:p w14:paraId="6950C758" w14:textId="0C2AF166" w:rsidR="005273C2" w:rsidRPr="001E0C81" w:rsidRDefault="00045B3A" w:rsidP="00C44DFE">
      <w:pPr>
        <w:pStyle w:val="Heading1"/>
      </w:pPr>
      <w:r>
        <w:t>Support for ECC decision (22)07</w:t>
      </w:r>
    </w:p>
    <w:p w14:paraId="3A49383E" w14:textId="63A1AA16" w:rsidR="00045B3A" w:rsidRPr="00CE0424" w:rsidRDefault="00045B3A" w:rsidP="00045B3A">
      <w:pPr>
        <w:pStyle w:val="Heading2"/>
        <w:tabs>
          <w:tab w:val="clear" w:pos="7238"/>
          <w:tab w:val="num" w:pos="576"/>
        </w:tabs>
        <w:ind w:left="576"/>
      </w:pPr>
      <w:r>
        <w:t>Location reporting for no-transmit zone</w:t>
      </w:r>
    </w:p>
    <w:p w14:paraId="767607CF" w14:textId="15CDFFD3" w:rsidR="00BA7F29" w:rsidRDefault="00045B3A" w:rsidP="00045B3A">
      <w:pPr>
        <w:rPr>
          <w:rFonts w:cs="Arial"/>
        </w:rPr>
      </w:pPr>
      <w:r w:rsidRPr="00045B3A">
        <w:t xml:space="preserve">Besides flight path reporting, in many cases it is beneficial for the network to know that a UAV is entering or leaving a certain area. For example, when a drone is to perform a mission in a certain geographical area in a certain time window according to a plan, it can be useful for the network to know that the drone is </w:t>
      </w:r>
      <w:proofErr w:type="gramStart"/>
      <w:r w:rsidRPr="00045B3A">
        <w:t>actually entering</w:t>
      </w:r>
      <w:proofErr w:type="gramEnd"/>
      <w:r w:rsidRPr="00045B3A">
        <w:t xml:space="preserve"> or leaving the area so that the network can optimize the connectivity for the mission of the drones. </w:t>
      </w:r>
      <w:r w:rsidR="00BD633E">
        <w:t>Especially</w:t>
      </w:r>
      <w:r w:rsidRPr="00045B3A">
        <w:t xml:space="preserve">, in many scenarios, the so-called no-transmit zones (NTZ) </w:t>
      </w:r>
      <w:r w:rsidR="00DC680A">
        <w:fldChar w:fldCharType="begin"/>
      </w:r>
      <w:r w:rsidR="00DC680A">
        <w:instrText xml:space="preserve"> REF _Ref127373654 \r \h </w:instrText>
      </w:r>
      <w:r w:rsidR="00DC680A">
        <w:fldChar w:fldCharType="separate"/>
      </w:r>
      <w:r w:rsidR="007D6AFC">
        <w:t>[12]</w:t>
      </w:r>
      <w:r w:rsidR="00DC680A">
        <w:fldChar w:fldCharType="end"/>
      </w:r>
      <w:r w:rsidR="00BC3508">
        <w:t xml:space="preserve"> </w:t>
      </w:r>
      <w:r w:rsidRPr="00045B3A">
        <w:t xml:space="preserve">(or sometimes no-fly zones) are imposed to limit the transmissions from drones, e.g., in order not to cause too much interference to a nearby </w:t>
      </w:r>
      <w:r w:rsidR="00C25661">
        <w:t>radio</w:t>
      </w:r>
      <w:r w:rsidR="00C25661" w:rsidRPr="00045B3A">
        <w:t xml:space="preserve"> </w:t>
      </w:r>
      <w:r w:rsidRPr="00045B3A">
        <w:t xml:space="preserve">station. </w:t>
      </w:r>
      <w:r w:rsidR="00BA7F29">
        <w:t xml:space="preserve">Some </w:t>
      </w:r>
      <w:r w:rsidR="004E58E2">
        <w:t>examples</w:t>
      </w:r>
      <w:r w:rsidR="00BA7F29">
        <w:t xml:space="preserve"> from the </w:t>
      </w:r>
      <w:r w:rsidR="00BA7F29" w:rsidRPr="00045B3A">
        <w:t xml:space="preserve">ECC decision (22)07 </w:t>
      </w:r>
      <w:r w:rsidR="00BA7F29" w:rsidRPr="00045B3A">
        <w:rPr>
          <w:rFonts w:cs="Arial"/>
        </w:rPr>
        <w:t>on “</w:t>
      </w:r>
      <w:proofErr w:type="spellStart"/>
      <w:r w:rsidR="00BA7F29" w:rsidRPr="00045B3A">
        <w:rPr>
          <w:rFonts w:cs="Arial"/>
        </w:rPr>
        <w:t>harmonised</w:t>
      </w:r>
      <w:proofErr w:type="spellEnd"/>
      <w:r w:rsidR="00BA7F29" w:rsidRPr="00045B3A">
        <w:rPr>
          <w:rFonts w:cs="Arial"/>
        </w:rPr>
        <w:t xml:space="preserve"> framework on aerial UE usage in MFCN </w:t>
      </w:r>
      <w:proofErr w:type="spellStart"/>
      <w:r w:rsidR="00BA7F29" w:rsidRPr="00045B3A">
        <w:rPr>
          <w:rFonts w:cs="Arial"/>
        </w:rPr>
        <w:t>harmonised</w:t>
      </w:r>
      <w:proofErr w:type="spellEnd"/>
      <w:r w:rsidR="00BA7F29" w:rsidRPr="00045B3A">
        <w:rPr>
          <w:rFonts w:cs="Arial"/>
        </w:rPr>
        <w:t xml:space="preserve"> bands”</w:t>
      </w:r>
      <w:r w:rsidR="004E58E2">
        <w:rPr>
          <w:rFonts w:cs="Arial"/>
        </w:rPr>
        <w:t xml:space="preserve"> are given below</w:t>
      </w:r>
      <w:r w:rsidR="00BA7F29">
        <w:rPr>
          <w:rFonts w:cs="Arial"/>
        </w:rPr>
        <w:t>:</w:t>
      </w:r>
    </w:p>
    <w:tbl>
      <w:tblPr>
        <w:tblStyle w:val="TableGrid"/>
        <w:tblW w:w="0" w:type="auto"/>
        <w:tblLook w:val="04A0" w:firstRow="1" w:lastRow="0" w:firstColumn="1" w:lastColumn="0" w:noHBand="0" w:noVBand="1"/>
      </w:tblPr>
      <w:tblGrid>
        <w:gridCol w:w="9629"/>
      </w:tblGrid>
      <w:tr w:rsidR="0021492B" w14:paraId="63252ECB" w14:textId="77777777" w:rsidTr="0021492B">
        <w:tc>
          <w:tcPr>
            <w:tcW w:w="9629" w:type="dxa"/>
          </w:tcPr>
          <w:p w14:paraId="0813A178" w14:textId="77777777" w:rsidR="0021492B" w:rsidRPr="003D1680" w:rsidRDefault="0021492B" w:rsidP="0021492B">
            <w:pPr>
              <w:pStyle w:val="ECCParagraph"/>
              <w:rPr>
                <w:b/>
              </w:rPr>
            </w:pPr>
            <w:r w:rsidRPr="003D1680">
              <w:rPr>
                <w:b/>
              </w:rPr>
              <w:t>832-837 MHz</w:t>
            </w:r>
            <w:r w:rsidRPr="00183C2E">
              <w:rPr>
                <w:b/>
              </w:rPr>
              <w:t>: Protection of RAS sites</w:t>
            </w:r>
          </w:p>
          <w:p w14:paraId="74261C1B" w14:textId="77777777" w:rsidR="0021492B" w:rsidRPr="003D1680" w:rsidRDefault="0021492B" w:rsidP="0021492B">
            <w:pPr>
              <w:pStyle w:val="ECCParBulleted"/>
            </w:pPr>
            <w:r w:rsidRPr="003D1680">
              <w:t>Nationally determined no-transmit zones are required around RAS sites operating in 1660-1670 MHz for aerial UE operating in the 832-837 MHz frequency band, as appropriate.</w:t>
            </w:r>
          </w:p>
          <w:p w14:paraId="75113BC1" w14:textId="77777777" w:rsidR="0021492B" w:rsidRPr="00183C2E" w:rsidRDefault="0021492B" w:rsidP="0021492B">
            <w:pPr>
              <w:pStyle w:val="ECCParagraph"/>
              <w:rPr>
                <w:b/>
              </w:rPr>
            </w:pPr>
            <w:r w:rsidRPr="003D1680">
              <w:rPr>
                <w:b/>
              </w:rPr>
              <w:t>2500-2570 MHz</w:t>
            </w:r>
            <w:r w:rsidRPr="00183C2E">
              <w:rPr>
                <w:b/>
              </w:rPr>
              <w:t>/</w:t>
            </w:r>
            <w:r w:rsidRPr="003D1680">
              <w:rPr>
                <w:b/>
              </w:rPr>
              <w:t>2570-2620 MHz</w:t>
            </w:r>
            <w:r w:rsidRPr="00183C2E">
              <w:rPr>
                <w:b/>
              </w:rPr>
              <w:t>: Protection of RAS sites and radars</w:t>
            </w:r>
          </w:p>
          <w:p w14:paraId="312E565F" w14:textId="77777777" w:rsidR="0021492B" w:rsidRPr="003D1680" w:rsidRDefault="0021492B" w:rsidP="0021492B">
            <w:pPr>
              <w:pStyle w:val="ECCParBulleted"/>
            </w:pPr>
            <w:r w:rsidRPr="003D1680">
              <w:t xml:space="preserve">Nationally determined no-transmit zones are required around RAS sites operating in 2690-2700 MHz for aerial UE operating in the 2500-2570 MHz or 2570-2620 MHz frequency band, as </w:t>
            </w:r>
            <w:proofErr w:type="gramStart"/>
            <w:r w:rsidRPr="003D1680">
              <w:t>appropriate</w:t>
            </w:r>
            <w:r>
              <w:t>;</w:t>
            </w:r>
            <w:proofErr w:type="gramEnd"/>
          </w:p>
          <w:p w14:paraId="65A0C151" w14:textId="59B44CB5" w:rsidR="0021492B" w:rsidRDefault="0021492B" w:rsidP="0021492B">
            <w:r w:rsidRPr="003D1680">
              <w:t>Nationally determined no-transmit zones might be required around radars operating in 2700-2900 MHz for aerial UE operating in the 2500-2570 MHz or 2570-2620 MHz frequency band.</w:t>
            </w:r>
          </w:p>
        </w:tc>
      </w:tr>
    </w:tbl>
    <w:p w14:paraId="2853106D" w14:textId="4D7401CE" w:rsidR="00BA7F29" w:rsidRDefault="00BA7F29" w:rsidP="00045B3A">
      <w:r>
        <w:t xml:space="preserve"> </w:t>
      </w:r>
    </w:p>
    <w:p w14:paraId="54B2A158" w14:textId="30805F60" w:rsidR="00045B3A" w:rsidRPr="00045B3A" w:rsidRDefault="004E58E2" w:rsidP="00045B3A">
      <w:r>
        <w:t>Based on these requirements</w:t>
      </w:r>
      <w:r w:rsidR="00045B3A" w:rsidRPr="00045B3A">
        <w:t xml:space="preserve">, the ECC decision (22)07 stated that (see below) a mechanism is necessary to ensure that aerial UE respect no-transmit zones. </w:t>
      </w:r>
    </w:p>
    <w:p w14:paraId="1D9D057F" w14:textId="2B2FE9D7" w:rsidR="00045B3A" w:rsidRPr="00045B3A" w:rsidRDefault="00045B3A" w:rsidP="00045B3A">
      <w:r w:rsidRPr="00045B3A">
        <w:rPr>
          <w:noProof/>
        </w:rPr>
        <w:drawing>
          <wp:inline distT="0" distB="0" distL="0" distR="0" wp14:anchorId="7792B739" wp14:editId="528BFC05">
            <wp:extent cx="6120765" cy="10998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099820"/>
                    </a:xfrm>
                    <a:prstGeom prst="rect">
                      <a:avLst/>
                    </a:prstGeom>
                  </pic:spPr>
                </pic:pic>
              </a:graphicData>
            </a:graphic>
          </wp:inline>
        </w:drawing>
      </w:r>
    </w:p>
    <w:p w14:paraId="35669612" w14:textId="3B496D4C" w:rsidR="00045B3A" w:rsidRPr="00045B3A" w:rsidRDefault="00045B3A" w:rsidP="00045B3A">
      <w:pPr>
        <w:pStyle w:val="Observation"/>
        <w:ind w:left="1701" w:hanging="1701"/>
        <w:rPr>
          <w:lang w:val="en-GB"/>
        </w:rPr>
      </w:pPr>
      <w:bookmarkStart w:id="4" w:name="_Toc134525443"/>
      <w:bookmarkStart w:id="5" w:name="_Toc134751166"/>
      <w:r w:rsidRPr="00045B3A">
        <w:t xml:space="preserve">ECC decision (22)07 </w:t>
      </w:r>
      <w:r w:rsidRPr="00045B3A">
        <w:rPr>
          <w:rFonts w:cs="Arial"/>
        </w:rPr>
        <w:t>on “</w:t>
      </w:r>
      <w:proofErr w:type="spellStart"/>
      <w:r w:rsidRPr="00045B3A">
        <w:rPr>
          <w:rFonts w:cs="Arial"/>
        </w:rPr>
        <w:t>harmonised</w:t>
      </w:r>
      <w:proofErr w:type="spellEnd"/>
      <w:r w:rsidRPr="00045B3A">
        <w:rPr>
          <w:rFonts w:cs="Arial"/>
        </w:rPr>
        <w:t xml:space="preserve"> framework on aerial UE usage in MFCN </w:t>
      </w:r>
      <w:proofErr w:type="spellStart"/>
      <w:r w:rsidRPr="00045B3A">
        <w:rPr>
          <w:rFonts w:cs="Arial"/>
        </w:rPr>
        <w:t>harmonised</w:t>
      </w:r>
      <w:proofErr w:type="spellEnd"/>
      <w:r w:rsidRPr="00045B3A">
        <w:rPr>
          <w:rFonts w:cs="Arial"/>
        </w:rPr>
        <w:t xml:space="preserve"> bands” requires</w:t>
      </w:r>
      <w:r w:rsidRPr="00045B3A">
        <w:t xml:space="preserve"> a mechanism to ensure that aerial UE respect no-transmit zones</w:t>
      </w:r>
      <w:r w:rsidRPr="00045B3A">
        <w:rPr>
          <w:lang w:val="en-GB"/>
        </w:rPr>
        <w:t>.</w:t>
      </w:r>
      <w:bookmarkEnd w:id="4"/>
      <w:bookmarkEnd w:id="5"/>
    </w:p>
    <w:p w14:paraId="7BA31C04" w14:textId="77777777" w:rsidR="0004564C" w:rsidRPr="00134316" w:rsidRDefault="0004564C" w:rsidP="00B73F6B">
      <w:pPr>
        <w:pStyle w:val="Proposal"/>
        <w:numPr>
          <w:ilvl w:val="0"/>
          <w:numId w:val="3"/>
        </w:numPr>
        <w:tabs>
          <w:tab w:val="clear" w:pos="5556"/>
        </w:tabs>
        <w:ind w:left="1701" w:hanging="1701"/>
        <w:rPr>
          <w:rFonts w:eastAsia="Times New Roman"/>
          <w:lang w:val="en-GB"/>
        </w:rPr>
      </w:pPr>
      <w:bookmarkStart w:id="6" w:name="_Toc134751174"/>
      <w:r w:rsidRPr="00134316">
        <w:rPr>
          <w:rFonts w:eastAsia="Times New Roman"/>
          <w:lang w:val="en-GB"/>
        </w:rPr>
        <w:t xml:space="preserve">RAN2 to study and specify mechanisms to </w:t>
      </w:r>
      <w:proofErr w:type="spellStart"/>
      <w:r w:rsidRPr="00134316">
        <w:rPr>
          <w:rFonts w:eastAsia="Times New Roman"/>
          <w:lang w:val="en-GB"/>
        </w:rPr>
        <w:t>fulfill</w:t>
      </w:r>
      <w:proofErr w:type="spellEnd"/>
      <w:r w:rsidRPr="00134316">
        <w:rPr>
          <w:rFonts w:eastAsia="Times New Roman"/>
          <w:lang w:val="en-GB"/>
        </w:rPr>
        <w:t xml:space="preserve"> requirements on no-transmit zone in ECC Decision (22)07</w:t>
      </w:r>
      <w:bookmarkEnd w:id="6"/>
    </w:p>
    <w:p w14:paraId="62AEE5A1" w14:textId="77777777" w:rsidR="004416D7" w:rsidRDefault="004416D7" w:rsidP="00045B3A"/>
    <w:p w14:paraId="25FF746C" w14:textId="7ACE981F" w:rsidR="00045B3A" w:rsidRPr="00045B3A" w:rsidRDefault="00045B3A" w:rsidP="00045B3A">
      <w:r w:rsidRPr="00045B3A">
        <w:t xml:space="preserve">From a network perspective, it is important for the network to know when a connected drone is entering a NTZ, for the network to be prepared to maintain the connectivity with the drone (e.g., to switch to another frequency band or carrier that is allowed in the NTZ). Vice versa, knowing when the drone is leaving a NTZ enables the network to recover to a previous mode of communication with the drones. </w:t>
      </w:r>
    </w:p>
    <w:p w14:paraId="54221B2A" w14:textId="77777777" w:rsidR="00045B3A" w:rsidRPr="00045B3A" w:rsidRDefault="00045B3A" w:rsidP="00045B3A">
      <w:pPr>
        <w:pStyle w:val="Proposal"/>
        <w:rPr>
          <w:b w:val="0"/>
          <w:bCs w:val="0"/>
        </w:rPr>
      </w:pPr>
    </w:p>
    <w:p w14:paraId="3B79027C" w14:textId="77777777" w:rsidR="00045B3A" w:rsidRPr="00045B3A" w:rsidRDefault="00045B3A" w:rsidP="00045B3A">
      <w:pPr>
        <w:pStyle w:val="Observation"/>
        <w:ind w:left="1701" w:hanging="1701"/>
        <w:rPr>
          <w:lang w:val="en-GB"/>
        </w:rPr>
      </w:pPr>
      <w:bookmarkStart w:id="7" w:name="_Toc123739177"/>
      <w:bookmarkStart w:id="8" w:name="_Toc134525444"/>
      <w:bookmarkStart w:id="9" w:name="_Toc134751167"/>
      <w:r w:rsidRPr="00045B3A">
        <w:rPr>
          <w:lang w:val="en-GB"/>
        </w:rPr>
        <w:lastRenderedPageBreak/>
        <w:t>It is beneficial for the mobile network to know when a UAV is entering or leaving a certain area or zone, e.g., a no-transmit zone.</w:t>
      </w:r>
      <w:bookmarkEnd w:id="7"/>
      <w:bookmarkEnd w:id="8"/>
      <w:bookmarkEnd w:id="9"/>
    </w:p>
    <w:p w14:paraId="2079B147" w14:textId="77777777" w:rsidR="00045B3A" w:rsidRPr="00045B3A" w:rsidRDefault="00045B3A" w:rsidP="00045B3A">
      <w:pPr>
        <w:pStyle w:val="Proposal"/>
        <w:numPr>
          <w:ilvl w:val="0"/>
          <w:numId w:val="3"/>
        </w:numPr>
        <w:tabs>
          <w:tab w:val="clear" w:pos="5556"/>
        </w:tabs>
        <w:ind w:left="1701" w:hanging="1701"/>
        <w:rPr>
          <w:rFonts w:eastAsia="Times New Roman"/>
          <w:lang w:val="en-GB"/>
        </w:rPr>
      </w:pPr>
      <w:bookmarkStart w:id="10" w:name="_Toc123739184"/>
      <w:bookmarkStart w:id="11" w:name="_Toc134525451"/>
      <w:bookmarkStart w:id="12" w:name="OLE_LINK5"/>
      <w:bookmarkStart w:id="13" w:name="_Toc134751175"/>
      <w:r w:rsidRPr="00045B3A">
        <w:rPr>
          <w:rFonts w:eastAsia="Times New Roman"/>
          <w:lang w:val="en-GB"/>
        </w:rPr>
        <w:t>Support UE reports triggered when a UAV enters or leaves a special area or zone, e.g., a no-transmit zone.</w:t>
      </w:r>
      <w:bookmarkEnd w:id="10"/>
      <w:bookmarkEnd w:id="11"/>
      <w:bookmarkEnd w:id="13"/>
    </w:p>
    <w:bookmarkEnd w:id="12"/>
    <w:p w14:paraId="66E37902" w14:textId="59A47329" w:rsidR="000A4F84" w:rsidRDefault="003C4FB0" w:rsidP="003A6D33">
      <w:r>
        <w:t xml:space="preserve">For example, </w:t>
      </w:r>
      <w:r w:rsidR="00AC4272">
        <w:t xml:space="preserve">for the frequency band or carrier that is restricted in the NTZ, </w:t>
      </w:r>
      <w:r w:rsidR="0015109E">
        <w:t>one or more</w:t>
      </w:r>
      <w:r w:rsidR="00FF20C2">
        <w:t xml:space="preserve"> location event </w:t>
      </w:r>
      <w:r w:rsidR="00170BBB">
        <w:t xml:space="preserve">D1 </w:t>
      </w:r>
      <w:r w:rsidR="00FF20C2">
        <w:t>as defined in TR 38.331</w:t>
      </w:r>
      <w:r w:rsidR="00170BBB">
        <w:t xml:space="preserve"> can be configured to trigger measurement report to </w:t>
      </w:r>
      <w:r w:rsidR="00EC17BF">
        <w:t>indicate whether a drone is entering or leaving a</w:t>
      </w:r>
      <w:r w:rsidR="00D63D40">
        <w:rPr>
          <w:rFonts w:hint="eastAsia"/>
        </w:rPr>
        <w:t>n</w:t>
      </w:r>
      <w:r w:rsidR="00EC17BF">
        <w:t xml:space="preserve"> NTZ. If the NTZ is defined</w:t>
      </w:r>
      <w:r w:rsidR="00264740">
        <w:t xml:space="preserve"> in certain height range, the location event and height event can be combined to </w:t>
      </w:r>
      <w:r w:rsidR="00094A29">
        <w:t>jointly trigger the subsequent procedure</w:t>
      </w:r>
      <w:r w:rsidR="00C11022">
        <w:t xml:space="preserve"> </w:t>
      </w:r>
      <w:r w:rsidR="00A44FC8">
        <w:t>like</w:t>
      </w:r>
      <w:r w:rsidR="00C11022">
        <w:t xml:space="preserve"> </w:t>
      </w:r>
      <w:r w:rsidR="00397A98">
        <w:t>preventing</w:t>
      </w:r>
      <w:r w:rsidR="00C11022">
        <w:t xml:space="preserve"> a drone</w:t>
      </w:r>
      <w:r w:rsidR="003B0815">
        <w:t xml:space="preserve"> from</w:t>
      </w:r>
      <w:r w:rsidR="00C11022">
        <w:t xml:space="preserve"> </w:t>
      </w:r>
      <w:r w:rsidR="00A44FC8">
        <w:t xml:space="preserve">transmitting </w:t>
      </w:r>
      <w:r w:rsidR="00256DBE">
        <w:t xml:space="preserve">when entering </w:t>
      </w:r>
      <w:r w:rsidR="002E7BC0">
        <w:t>the</w:t>
      </w:r>
      <w:r w:rsidR="00256DBE">
        <w:t xml:space="preserve"> NTZ</w:t>
      </w:r>
      <w:r w:rsidR="003B0815">
        <w:t xml:space="preserve"> or retrieving transmission for a drone when leaving the NTZ</w:t>
      </w:r>
      <w:r w:rsidR="00094A29">
        <w:t>.</w:t>
      </w:r>
    </w:p>
    <w:p w14:paraId="1DA20948" w14:textId="3D105C1B" w:rsidR="000A4F84" w:rsidRPr="00B73F6B" w:rsidRDefault="008539E4" w:rsidP="0054364E">
      <w:pPr>
        <w:pStyle w:val="Observation"/>
        <w:ind w:left="1701" w:hanging="1701"/>
        <w:rPr>
          <w:lang w:val="en-GB"/>
        </w:rPr>
      </w:pPr>
      <w:bookmarkStart w:id="14" w:name="_Toc134525445"/>
      <w:bookmarkStart w:id="15" w:name="_Toc134751168"/>
      <w:r w:rsidRPr="0054364E">
        <w:rPr>
          <w:lang w:val="en-GB"/>
        </w:rPr>
        <w:t xml:space="preserve">Location event and height event can be configured to </w:t>
      </w:r>
      <w:r w:rsidR="00F65415" w:rsidRPr="0054364E">
        <w:rPr>
          <w:lang w:val="en-GB"/>
        </w:rPr>
        <w:t xml:space="preserve">indicate whether a drone is entering or leaving </w:t>
      </w:r>
      <w:r w:rsidR="00D63D40" w:rsidRPr="0054364E">
        <w:rPr>
          <w:lang w:val="en-GB"/>
        </w:rPr>
        <w:t>an</w:t>
      </w:r>
      <w:r w:rsidR="00F65415" w:rsidRPr="0054364E">
        <w:rPr>
          <w:lang w:val="en-GB"/>
        </w:rPr>
        <w:t xml:space="preserve"> NTZ.</w:t>
      </w:r>
      <w:bookmarkEnd w:id="14"/>
      <w:bookmarkEnd w:id="15"/>
    </w:p>
    <w:p w14:paraId="57747E2D" w14:textId="6C4ADF41" w:rsidR="008E55EC" w:rsidRPr="00134316" w:rsidRDefault="008E55EC" w:rsidP="003A6D33">
      <w:pPr>
        <w:rPr>
          <w:lang w:val="en-GB"/>
        </w:rPr>
      </w:pPr>
    </w:p>
    <w:p w14:paraId="5A3DE368" w14:textId="47CB3BCA" w:rsidR="00045B3A" w:rsidRDefault="00045B3A" w:rsidP="003A6D33"/>
    <w:p w14:paraId="51C1CBCA" w14:textId="77777777" w:rsidR="00045B3A" w:rsidRPr="00F11FD2" w:rsidRDefault="00045B3A" w:rsidP="00045B3A">
      <w:pPr>
        <w:pStyle w:val="Heading1"/>
        <w:rPr>
          <w:rStyle w:val="CommentReference"/>
          <w:sz w:val="36"/>
          <w:szCs w:val="36"/>
        </w:rPr>
      </w:pPr>
      <w:r>
        <w:t>User consent on location reporting</w:t>
      </w:r>
    </w:p>
    <w:p w14:paraId="12B3DC20" w14:textId="77777777" w:rsidR="00045B3A" w:rsidRPr="00207AC2" w:rsidRDefault="00045B3A" w:rsidP="00045B3A">
      <w:pPr>
        <w:pStyle w:val="Proposal"/>
        <w:ind w:left="1701"/>
        <w:rPr>
          <w:rFonts w:eastAsia="Times New Roman"/>
          <w:lang w:val="en-GB"/>
        </w:rPr>
      </w:pPr>
    </w:p>
    <w:p w14:paraId="19108601" w14:textId="45A6AD2B" w:rsidR="00045B3A" w:rsidRDefault="00045B3A" w:rsidP="00045B3A">
      <w:r>
        <w:t xml:space="preserve">Another FFS from RAN2#119e is whether </w:t>
      </w:r>
      <w:r w:rsidRPr="00257993">
        <w:t>user consent is needed for location reporting in CONNECTED</w:t>
      </w:r>
      <w:r>
        <w:t>. In our view, as this topic has been discussed in NTN WI and it is a general issue which involves other WGs like SA2 and SA3, RAN2 can consider the decisions from these WGs</w:t>
      </w:r>
      <w:r w:rsidR="007E7014">
        <w:t xml:space="preserve"> when available</w:t>
      </w:r>
      <w:r>
        <w:t>.</w:t>
      </w:r>
    </w:p>
    <w:p w14:paraId="29F187B1" w14:textId="46D5A434" w:rsidR="00045B3A" w:rsidRPr="00207AC2" w:rsidRDefault="00045B3A" w:rsidP="00045B3A">
      <w:pPr>
        <w:pStyle w:val="Proposal"/>
        <w:numPr>
          <w:ilvl w:val="0"/>
          <w:numId w:val="3"/>
        </w:numPr>
        <w:tabs>
          <w:tab w:val="clear" w:pos="5556"/>
        </w:tabs>
        <w:ind w:left="1701" w:hanging="1701"/>
        <w:rPr>
          <w:rFonts w:eastAsia="Times New Roman"/>
          <w:lang w:val="en-GB"/>
        </w:rPr>
      </w:pPr>
      <w:bookmarkStart w:id="16" w:name="_Toc134525452"/>
      <w:bookmarkStart w:id="17" w:name="_Toc134751176"/>
      <w:r w:rsidRPr="00207AC2">
        <w:rPr>
          <w:rFonts w:eastAsia="Times New Roman"/>
          <w:lang w:val="en-GB"/>
        </w:rPr>
        <w:t xml:space="preserve">RAN2 to </w:t>
      </w:r>
      <w:r>
        <w:rPr>
          <w:rFonts w:eastAsia="Times New Roman"/>
          <w:lang w:val="en-GB"/>
        </w:rPr>
        <w:t xml:space="preserve">work on </w:t>
      </w:r>
      <w:r w:rsidR="00722B6F">
        <w:rPr>
          <w:rFonts w:eastAsia="Times New Roman"/>
          <w:lang w:val="en-GB"/>
        </w:rPr>
        <w:t xml:space="preserve">signalling for </w:t>
      </w:r>
      <w:r>
        <w:rPr>
          <w:rFonts w:eastAsia="Times New Roman"/>
          <w:lang w:val="en-GB"/>
        </w:rPr>
        <w:t>location reporting and consider</w:t>
      </w:r>
      <w:r w:rsidRPr="00207AC2">
        <w:rPr>
          <w:rFonts w:eastAsia="Times New Roman"/>
          <w:lang w:val="en-GB"/>
        </w:rPr>
        <w:t xml:space="preserve"> the decision from SA2 and SA3 on the topic of user consent</w:t>
      </w:r>
      <w:r>
        <w:rPr>
          <w:rFonts w:eastAsia="Times New Roman"/>
          <w:lang w:val="en-GB"/>
        </w:rPr>
        <w:t>-</w:t>
      </w:r>
      <w:r w:rsidRPr="00207AC2">
        <w:rPr>
          <w:rFonts w:eastAsia="Times New Roman"/>
          <w:lang w:val="en-GB"/>
        </w:rPr>
        <w:t>based location report</w:t>
      </w:r>
      <w:r>
        <w:rPr>
          <w:rFonts w:eastAsia="Times New Roman"/>
          <w:lang w:val="en-GB"/>
        </w:rPr>
        <w:t xml:space="preserve"> once available</w:t>
      </w:r>
      <w:r w:rsidRPr="00207AC2">
        <w:rPr>
          <w:rFonts w:eastAsia="Times New Roman"/>
          <w:lang w:val="en-GB"/>
        </w:rPr>
        <w:t>.</w:t>
      </w:r>
      <w:bookmarkEnd w:id="16"/>
      <w:bookmarkEnd w:id="17"/>
    </w:p>
    <w:p w14:paraId="436E5852" w14:textId="77777777" w:rsidR="003A6D33" w:rsidRPr="00616333" w:rsidRDefault="003A6D33" w:rsidP="003A6D33">
      <w:pPr>
        <w:rPr>
          <w:highlight w:val="yellow"/>
        </w:rPr>
      </w:pPr>
    </w:p>
    <w:p w14:paraId="05C67B33" w14:textId="4BD09AFF" w:rsidR="002F5FEE" w:rsidRPr="0050774B" w:rsidRDefault="002F5FEE" w:rsidP="0050774B">
      <w:pPr>
        <w:pStyle w:val="Proposal"/>
        <w:rPr>
          <w:b w:val="0"/>
          <w:bCs w:val="0"/>
          <w:lang w:val="en-GB"/>
        </w:rPr>
      </w:pPr>
    </w:p>
    <w:p w14:paraId="4671E92F" w14:textId="232CAD58" w:rsidR="008C02BD" w:rsidRDefault="004542FF" w:rsidP="003A6D33">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2B47CFC2" w:rsidR="00AB7C27" w:rsidRDefault="00AB7C27" w:rsidP="00AB7C27">
      <w:pPr>
        <w:rPr>
          <w:lang w:val="en-GB"/>
        </w:rPr>
      </w:pPr>
      <w:r>
        <w:rPr>
          <w:lang w:val="en-GB"/>
        </w:rPr>
        <w:t>While a triggering condition based on multiple cells 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18" w:name="_Toc510740572"/>
      <w:bookmarkStart w:id="19" w:name="_Toc134525446"/>
      <w:bookmarkStart w:id="20" w:name="_Toc134751169"/>
      <w:r>
        <w:rPr>
          <w:lang w:val="en-GB"/>
        </w:rPr>
        <w:t>For ensuring mobility performance, an aerial UE should be configured with single cell RSRP reporting with short TTT.</w:t>
      </w:r>
      <w:bookmarkEnd w:id="18"/>
      <w:bookmarkEnd w:id="19"/>
      <w:bookmarkEnd w:id="20"/>
    </w:p>
    <w:p w14:paraId="7F4CCF96" w14:textId="29D3C873"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w:t>
      </w:r>
      <w:proofErr w:type="gramStart"/>
      <w:r w:rsidR="000B03EA">
        <w:rPr>
          <w:lang w:val="en-GB"/>
        </w:rPr>
        <w:t>and also</w:t>
      </w:r>
      <w:proofErr w:type="gramEnd"/>
      <w:r w:rsidR="000B03EA">
        <w:rPr>
          <w:lang w:val="en-GB"/>
        </w:rPr>
        <w:t xml:space="preserve">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7D6AFC">
        <w:rPr>
          <w:lang w:val="en-GB"/>
        </w:rPr>
        <w:t>[7]</w:t>
      </w:r>
      <w:r w:rsidR="008466AC">
        <w:rPr>
          <w:lang w:val="en-GB"/>
        </w:rPr>
        <w:fldChar w:fldCharType="end"/>
      </w:r>
      <w:r w:rsidR="000B03EA" w:rsidRPr="006602F7">
        <w:rPr>
          <w:lang w:val="en-GB"/>
        </w:rPr>
        <w:t>.</w:t>
      </w:r>
      <w:r w:rsidR="000B03EA">
        <w:rPr>
          <w:lang w:val="en-GB"/>
        </w:rPr>
        <w:t xml:space="preserve"> </w:t>
      </w:r>
    </w:p>
    <w:p w14:paraId="55706A2A" w14:textId="0A4AD62B" w:rsidR="001F7017" w:rsidRDefault="009662FC" w:rsidP="001F7017">
      <w:pPr>
        <w:pStyle w:val="Observation"/>
        <w:ind w:left="1701" w:hanging="1701"/>
        <w:rPr>
          <w:lang w:val="en-GB"/>
        </w:rPr>
      </w:pPr>
      <w:bookmarkStart w:id="21" w:name="_Toc134525447"/>
      <w:bookmarkStart w:id="22" w:name="_Toc134751170"/>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21"/>
      <w:bookmarkEnd w:id="22"/>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to control the measurement reporting. The TTT and hysteresis are used to control 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23" w:name="_Toc134525448"/>
      <w:bookmarkStart w:id="24" w:name="_Toc134751171"/>
      <w:r>
        <w:rPr>
          <w:lang w:val="en-GB"/>
        </w:rPr>
        <w:t>TTT and hysteresis control reporting amount when the value for the metric goes back and forth of the threshold value potentially causing entering/leaving of the condition.</w:t>
      </w:r>
      <w:bookmarkEnd w:id="23"/>
      <w:bookmarkEnd w:id="24"/>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w:t>
      </w:r>
      <w:r>
        <w:lastRenderedPageBreak/>
        <w:t xml:space="preserve">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25" w:name="_Toc134525449"/>
      <w:bookmarkStart w:id="26" w:name="_Toc134751172"/>
      <w:r>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25"/>
      <w:bookmarkEnd w:id="26"/>
    </w:p>
    <w:p w14:paraId="7D984E1B" w14:textId="51E758B2" w:rsidR="00AB7C27" w:rsidRDefault="00AB7C27" w:rsidP="00AB7C27">
      <w:r>
        <w:t>When an aerial UE flies or takes off, an event triggers consecutively due to different cells as observed in</w:t>
      </w:r>
      <w:r w:rsidR="00F82507">
        <w:t xml:space="preserve"> </w:t>
      </w:r>
      <w:r w:rsidR="00370A3D">
        <w:fldChar w:fldCharType="begin"/>
      </w:r>
      <w:r w:rsidR="00370A3D">
        <w:instrText xml:space="preserve"> REF _Ref118301175 \r \h </w:instrText>
      </w:r>
      <w:r w:rsidR="00370A3D">
        <w:fldChar w:fldCharType="separate"/>
      </w:r>
      <w:r w:rsidR="007D6AFC">
        <w:t>[4]</w:t>
      </w:r>
      <w:r w:rsidR="00370A3D">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Pr="00616333" w:rsidRDefault="00AB7C27" w:rsidP="00AB7C27">
      <w:pPr>
        <w:pStyle w:val="Observation"/>
        <w:ind w:left="1701" w:hanging="1701"/>
        <w:rPr>
          <w:lang w:val="en-GB"/>
        </w:rPr>
      </w:pPr>
      <w:bookmarkStart w:id="27" w:name="_Toc134525450"/>
      <w:bookmarkStart w:id="28" w:name="_Toc134751173"/>
      <w:r>
        <w:t xml:space="preserve">When an aerial UE flies or takes off, an event triggers consecutively due to different </w:t>
      </w:r>
      <w:r w:rsidRPr="00616333">
        <w:t>cells</w:t>
      </w:r>
      <w:r w:rsidRPr="00616333">
        <w:rPr>
          <w:lang w:val="en-GB"/>
        </w:rPr>
        <w:t>.</w:t>
      </w:r>
      <w:r w:rsidR="007D3F8D" w:rsidRPr="00616333">
        <w:rPr>
          <w:lang w:val="en-GB"/>
        </w:rPr>
        <w:t xml:space="preserve"> This may lead to </w:t>
      </w:r>
      <w:r w:rsidR="005D38B9" w:rsidRPr="00616333">
        <w:rPr>
          <w:lang w:val="en-GB"/>
        </w:rPr>
        <w:t>redundant UE measurement reports.</w:t>
      </w:r>
      <w:bookmarkEnd w:id="27"/>
      <w:bookmarkEnd w:id="28"/>
    </w:p>
    <w:p w14:paraId="57A642B0" w14:textId="1B299373" w:rsidR="00AB7C27" w:rsidRPr="008F5691" w:rsidRDefault="00AB7C27" w:rsidP="00AB7C27">
      <w:pPr>
        <w:rPr>
          <w:lang w:val="en-GB"/>
        </w:rPr>
      </w:pPr>
      <w:r w:rsidRPr="00616333">
        <w:rPr>
          <w:lang w:val="en-GB"/>
        </w:rPr>
        <w:t>Thus, we propose that RAN2 specify mechanism to control the amount of measurement reporting.</w:t>
      </w:r>
      <w:bookmarkStart w:id="29" w:name="_Toc510712179"/>
      <w:bookmarkEnd w:id="29"/>
      <w:r w:rsidR="009776EF">
        <w:rPr>
          <w:lang w:val="en-GB"/>
        </w:rPr>
        <w:t xml:space="preserve"> </w:t>
      </w:r>
      <w:r w:rsidRPr="00616333">
        <w:t xml:space="preserve">The proposed way is to limit the measurement reporting </w:t>
      </w:r>
      <w:r w:rsidR="00FE6571" w:rsidRPr="00616333">
        <w:t>by</w:t>
      </w:r>
      <w:r w:rsidRPr="00616333">
        <w:t xml:space="preserve"> defin</w:t>
      </w:r>
      <w:r w:rsidR="00FE6571" w:rsidRPr="00616333">
        <w:t>ing</w:t>
      </w:r>
      <w:r w:rsidRPr="00616333">
        <w:t xml:space="preserve"> a prohibit timer which prevents sending the measurement reports for a configurable time after the event has been triggered and the first report has been sent. The use of prohibit timer is associated to the reporting configuration. </w:t>
      </w:r>
      <w:r w:rsidR="00EF40A4" w:rsidRPr="00616333">
        <w:t>Just a</w:t>
      </w:r>
      <w:r w:rsidR="00941E48" w:rsidRPr="00616333">
        <w:t>s it is</w:t>
      </w:r>
      <w:r w:rsidR="00EF40A4" w:rsidRPr="00616333">
        <w:t xml:space="preserve"> proposed for regular mobility events originally,</w:t>
      </w:r>
      <w:r w:rsidR="00941E48" w:rsidRPr="00616333">
        <w:t xml:space="preserve"> this method </w:t>
      </w:r>
      <w:r w:rsidRPr="00616333">
        <w:t xml:space="preserve">can </w:t>
      </w:r>
      <w:r w:rsidR="00345B22" w:rsidRPr="00616333">
        <w:t xml:space="preserve">enable timely reporting when the event is triggered first time for the purpose of mobility control, as well as </w:t>
      </w:r>
      <w:r w:rsidRPr="00616333">
        <w:t>control</w:t>
      </w:r>
      <w:r w:rsidR="00345B22" w:rsidRPr="00616333">
        <w:t>ling</w:t>
      </w:r>
      <w:r w:rsidRPr="00616333">
        <w:t xml:space="preserve"> the amount of measurement reportin</w:t>
      </w:r>
      <w:r w:rsidR="009A2B59" w:rsidRPr="00616333">
        <w:t xml:space="preserve">g. For mobility events, when the UE starts to fly, same event is </w:t>
      </w:r>
      <w:r w:rsidRPr="00616333">
        <w:t>g</w:t>
      </w:r>
      <w:r w:rsidR="009A2B59" w:rsidRPr="00616333">
        <w:t xml:space="preserve">oing to be triggered </w:t>
      </w:r>
      <w:r w:rsidR="004D0502" w:rsidRPr="00616333">
        <w:t>by new cell consecutively. In this case, it is difficult for RRC configuring to</w:t>
      </w:r>
      <w:r w:rsidR="00416A1D" w:rsidRPr="00616333">
        <w:t xml:space="preserve"> impact the </w:t>
      </w:r>
      <w:r w:rsidR="00ED1E74" w:rsidRPr="00616333">
        <w:t xml:space="preserve">mobility behavior as it is slow. </w:t>
      </w:r>
      <w:r w:rsidR="007B1A6E" w:rsidRPr="00616333">
        <w:t>Introdu</w:t>
      </w:r>
      <w:r w:rsidR="00E72EBF" w:rsidRPr="00616333">
        <w:t>c</w:t>
      </w:r>
      <w:r w:rsidR="007B1A6E" w:rsidRPr="00616333">
        <w:t xml:space="preserve">ing prohibit timer </w:t>
      </w:r>
      <w:r w:rsidR="00E72EBF" w:rsidRPr="00616333">
        <w:t>would</w:t>
      </w:r>
      <w:r w:rsidR="009659AE" w:rsidRPr="00616333">
        <w:t xml:space="preserve"> be an effective way to</w:t>
      </w:r>
      <w:r w:rsidR="00E72EBF" w:rsidRPr="00616333">
        <w:t xml:space="preserve"> impact the configuration</w:t>
      </w:r>
      <w:r w:rsidRPr="00616333">
        <w:t>. As the idea of preventing certain measurement results can result in a worry on de</w:t>
      </w:r>
      <w:r w:rsidR="00923EE1" w:rsidRPr="00616333">
        <w:t>c</w:t>
      </w:r>
      <w:r w:rsidRPr="00616333">
        <w:t>reasing mobility performance, we present simulation results to show that this seem not to be the case for drone UEs.</w:t>
      </w:r>
      <w:r w:rsidR="009279A1" w:rsidRPr="00616333">
        <w:t xml:space="preserve"> The results were </w:t>
      </w:r>
      <w:r w:rsidR="00D41705" w:rsidRPr="00616333">
        <w:t>performed under LTE UAV simulation assumptions (TR 36.777) and was first shown in</w:t>
      </w:r>
      <w:r w:rsidR="00D859B4" w:rsidRPr="00616333">
        <w:t xml:space="preserve"> </w:t>
      </w:r>
      <w:r w:rsidR="00D859B4" w:rsidRPr="00616333">
        <w:fldChar w:fldCharType="begin"/>
      </w:r>
      <w:r w:rsidR="00D859B4" w:rsidRPr="00616333">
        <w:instrText xml:space="preserve"> REF _Ref110870412 \r \h </w:instrText>
      </w:r>
      <w:r w:rsidR="00616333">
        <w:instrText xml:space="preserve"> \* MERGEFORMAT </w:instrText>
      </w:r>
      <w:r w:rsidR="00D859B4" w:rsidRPr="00616333">
        <w:fldChar w:fldCharType="separate"/>
      </w:r>
      <w:r w:rsidR="007D6AFC">
        <w:t>[8]</w:t>
      </w:r>
      <w:r w:rsidR="00D859B4" w:rsidRPr="00616333">
        <w:fldChar w:fldCharType="end"/>
      </w:r>
      <w:r w:rsidR="00E37714" w:rsidRPr="00616333">
        <w:t>, but the observations and conclusions should hold true for NR as well.</w:t>
      </w:r>
    </w:p>
    <w:p w14:paraId="54DED2F4" w14:textId="5ECF6812" w:rsidR="008F5691" w:rsidRPr="00616333" w:rsidRDefault="008F5691" w:rsidP="008F5691">
      <w:pPr>
        <w:rPr>
          <w:lang w:val="en-GB"/>
        </w:rPr>
      </w:pPr>
      <w:r w:rsidRPr="00616333">
        <w:rPr>
          <w:lang w:val="en-GB"/>
        </w:rPr>
        <w:t xml:space="preserve">We propose to introduce a prohibit timer in NR similar to the CRs RAN2 discussed for LTE in </w:t>
      </w:r>
      <w:r w:rsidRPr="00616333">
        <w:rPr>
          <w:lang w:val="en-GB"/>
        </w:rPr>
        <w:fldChar w:fldCharType="begin"/>
      </w:r>
      <w:r w:rsidRPr="00616333">
        <w:rPr>
          <w:lang w:val="en-GB"/>
        </w:rPr>
        <w:instrText xml:space="preserve"> REF _Ref110870596 \r \h </w:instrText>
      </w:r>
      <w:r>
        <w:rPr>
          <w:lang w:val="en-GB"/>
        </w:rPr>
        <w:instrText xml:space="preserve"> \* MERGEFORMAT </w:instrText>
      </w:r>
      <w:r w:rsidRPr="00616333">
        <w:rPr>
          <w:lang w:val="en-GB"/>
        </w:rPr>
      </w:r>
      <w:r w:rsidRPr="00616333">
        <w:rPr>
          <w:lang w:val="en-GB"/>
        </w:rPr>
        <w:fldChar w:fldCharType="separate"/>
      </w:r>
      <w:r w:rsidR="007D6AFC">
        <w:rPr>
          <w:lang w:val="en-GB"/>
        </w:rPr>
        <w:t>[9]</w:t>
      </w:r>
      <w:r w:rsidRPr="00616333">
        <w:rPr>
          <w:lang w:val="en-GB"/>
        </w:rPr>
        <w:fldChar w:fldCharType="end"/>
      </w:r>
      <w:r w:rsidRPr="00616333">
        <w:rPr>
          <w:lang w:val="en-GB"/>
        </w:rPr>
        <w:fldChar w:fldCharType="begin"/>
      </w:r>
      <w:r w:rsidRPr="00616333">
        <w:rPr>
          <w:lang w:val="en-GB"/>
        </w:rPr>
        <w:instrText xml:space="preserve"> REF _Ref525223252 \r \h </w:instrText>
      </w:r>
      <w:r>
        <w:rPr>
          <w:lang w:val="en-GB"/>
        </w:rPr>
        <w:instrText xml:space="preserve"> \* MERGEFORMAT </w:instrText>
      </w:r>
      <w:r w:rsidRPr="00616333">
        <w:rPr>
          <w:lang w:val="en-GB"/>
        </w:rPr>
      </w:r>
      <w:r w:rsidRPr="00616333">
        <w:rPr>
          <w:lang w:val="en-GB"/>
        </w:rPr>
        <w:fldChar w:fldCharType="separate"/>
      </w:r>
      <w:r w:rsidR="007D6AFC">
        <w:rPr>
          <w:lang w:val="en-GB"/>
        </w:rPr>
        <w:t>[10]</w:t>
      </w:r>
      <w:r w:rsidRPr="00616333">
        <w:rPr>
          <w:lang w:val="en-GB"/>
        </w:rPr>
        <w:fldChar w:fldCharType="end"/>
      </w:r>
      <w:r w:rsidRPr="00616333">
        <w:rPr>
          <w:lang w:val="en-GB"/>
        </w:rPr>
        <w:fldChar w:fldCharType="begin"/>
      </w:r>
      <w:r w:rsidRPr="00616333">
        <w:rPr>
          <w:lang w:val="en-GB"/>
        </w:rPr>
        <w:instrText xml:space="preserve"> REF _Ref525826756 \r \h </w:instrText>
      </w:r>
      <w:r>
        <w:rPr>
          <w:lang w:val="en-GB"/>
        </w:rPr>
        <w:instrText xml:space="preserve"> \* MERGEFORMAT </w:instrText>
      </w:r>
      <w:r w:rsidRPr="00616333">
        <w:rPr>
          <w:lang w:val="en-GB"/>
        </w:rPr>
      </w:r>
      <w:r w:rsidRPr="00616333">
        <w:rPr>
          <w:lang w:val="en-GB"/>
        </w:rPr>
        <w:fldChar w:fldCharType="separate"/>
      </w:r>
      <w:r w:rsidR="007D6AFC">
        <w:rPr>
          <w:lang w:val="en-GB"/>
        </w:rPr>
        <w:t>[11]</w:t>
      </w:r>
      <w:r w:rsidRPr="00616333">
        <w:rPr>
          <w:lang w:val="en-GB"/>
        </w:rPr>
        <w:fldChar w:fldCharType="end"/>
      </w:r>
    </w:p>
    <w:p w14:paraId="034FBB61" w14:textId="055E7979" w:rsidR="008F5691" w:rsidRPr="00616333" w:rsidRDefault="008F5691" w:rsidP="008F5691">
      <w:pPr>
        <w:pStyle w:val="Proposal"/>
        <w:numPr>
          <w:ilvl w:val="0"/>
          <w:numId w:val="3"/>
        </w:numPr>
        <w:tabs>
          <w:tab w:val="clear" w:pos="5556"/>
        </w:tabs>
        <w:ind w:left="1701" w:hanging="1701"/>
        <w:rPr>
          <w:rFonts w:eastAsia="Times New Roman"/>
          <w:lang w:val="en-GB"/>
        </w:rPr>
      </w:pPr>
      <w:bookmarkStart w:id="30" w:name="_Toc510712182"/>
      <w:bookmarkStart w:id="31" w:name="_Toc134525453"/>
      <w:bookmarkStart w:id="32" w:name="_Toc134751177"/>
      <w:bookmarkEnd w:id="30"/>
      <w:r w:rsidRPr="00616333">
        <w:t>Introduce a prohibit timer in reporting configuration for the purpose of mobility control: UE is prevented from triggering the measurement report for a configurable time after the event is first triggered and first report is sent.</w:t>
      </w:r>
      <w:bookmarkEnd w:id="31"/>
      <w:bookmarkEnd w:id="32"/>
    </w:p>
    <w:p w14:paraId="179F6AA1" w14:textId="77777777" w:rsidR="008F5691" w:rsidRDefault="008F5691" w:rsidP="00AB7C27"/>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lastRenderedPageBreak/>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71C55EF3" w:rsidR="009279A1" w:rsidRPr="006E2530" w:rsidRDefault="009279A1" w:rsidP="009279A1">
      <w:pPr>
        <w:pStyle w:val="Caption"/>
        <w:jc w:val="both"/>
        <w:rPr>
          <w:b w:val="0"/>
          <w:lang w:val="en-GB"/>
        </w:rPr>
      </w:pPr>
      <w:r>
        <w:t xml:space="preserve">Figure </w:t>
      </w:r>
      <w:r w:rsidR="00B73F6B">
        <w:fldChar w:fldCharType="begin"/>
      </w:r>
      <w:r w:rsidR="00B73F6B">
        <w:instrText xml:space="preserve"> SEQ Figure \* ARABIC </w:instrText>
      </w:r>
      <w:r w:rsidR="00B73F6B">
        <w:fldChar w:fldCharType="separate"/>
      </w:r>
      <w:r w:rsidR="007D6AFC">
        <w:rPr>
          <w:noProof/>
        </w:rPr>
        <w:t>1</w:t>
      </w:r>
      <w:r w:rsidR="00B73F6B">
        <w:rPr>
          <w:noProof/>
        </w:rPr>
        <w:fldChar w:fldCharType="end"/>
      </w:r>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proofErr w:type="gramStart"/>
      <w:r>
        <w:rPr>
          <w:lang w:val="en-GB"/>
        </w:rPr>
        <w:t>In order to</w:t>
      </w:r>
      <w:proofErr w:type="gramEnd"/>
      <w:r>
        <w:rPr>
          <w:lang w:val="en-GB"/>
        </w:rPr>
        <w:t xml:space="preserve">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w:t>
      </w:r>
      <w:proofErr w:type="spellStart"/>
      <w:r>
        <w:rPr>
          <w:lang w:val="en-GB"/>
        </w:rPr>
        <w:t>ing</w:t>
      </w:r>
      <w:proofErr w:type="spellEnd"/>
      <w:r>
        <w:rPr>
          <w:lang w:val="en-GB"/>
        </w:rPr>
        <w:t xml:space="preserve"> triggered within y </w:t>
      </w:r>
      <w:proofErr w:type="spellStart"/>
      <w:r>
        <w:rPr>
          <w:lang w:val="en-GB"/>
        </w:rPr>
        <w:t>ms</w:t>
      </w:r>
      <w:proofErr w:type="spellEnd"/>
      <w:r>
        <w:rPr>
          <w:lang w:val="en-GB"/>
        </w:rPr>
        <w:t>.</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w:t>
      </w:r>
      <w:proofErr w:type="gramStart"/>
      <w:r>
        <w:rPr>
          <w:lang w:val="en-GB"/>
        </w:rPr>
        <w:t>triggering</w:t>
      </w:r>
      <w:proofErr w:type="gramEnd"/>
      <w:r>
        <w:rPr>
          <w:lang w:val="en-GB"/>
        </w:rPr>
        <w:t xml:space="preserve"> and triple-triggering can be seen for different heights. </w:t>
      </w:r>
      <w:proofErr w:type="gramStart"/>
      <w:r>
        <w:rPr>
          <w:lang w:val="en-GB"/>
        </w:rPr>
        <w:t>It is clear that the</w:t>
      </w:r>
      <w:proofErr w:type="gramEnd"/>
      <w:r>
        <w:rPr>
          <w:lang w:val="en-GB"/>
        </w:rPr>
        <w:t xml:space="preserve"> double-triggering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lastRenderedPageBreak/>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proofErr w:type="gramStart"/>
      <w:r>
        <w:rPr>
          <w:lang w:val="en-GB"/>
        </w:rPr>
        <w:t>In order to</w:t>
      </w:r>
      <w:proofErr w:type="gramEnd"/>
      <w:r>
        <w:rPr>
          <w:lang w:val="en-GB"/>
        </w:rPr>
        <w:t xml:space="preserve">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73D389CE" w14:textId="194DEC58" w:rsidR="009279A1" w:rsidRPr="00616333" w:rsidRDefault="009279A1" w:rsidP="009279A1">
      <w:pPr>
        <w:rPr>
          <w:lang w:val="en-GB"/>
        </w:rPr>
      </w:pPr>
      <w:r>
        <w:rPr>
          <w:lang w:val="en-GB"/>
        </w:rPr>
        <w:t xml:space="preserve">From figure 3 we can see that the RLFs, handover </w:t>
      </w:r>
      <w:proofErr w:type="gramStart"/>
      <w:r>
        <w:rPr>
          <w:lang w:val="en-GB"/>
        </w:rPr>
        <w:t>initiated</w:t>
      </w:r>
      <w:proofErr w:type="gramEnd"/>
      <w:r>
        <w:rPr>
          <w:lang w:val="en-GB"/>
        </w:rPr>
        <w:t xml:space="preserve"> and handover failures remain almost constant. The reason for this </w:t>
      </w:r>
      <w:r w:rsidRPr="00616333">
        <w:rPr>
          <w:lang w:val="en-GB"/>
        </w:rPr>
        <w:t xml:space="preserve">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w:t>
      </w:r>
      <w:bookmarkStart w:id="33" w:name="OLE_LINK3"/>
      <w:r w:rsidRPr="00616333">
        <w:rPr>
          <w:lang w:val="en-GB"/>
        </w:rPr>
        <w:t>surface</w:t>
      </w:r>
      <w:bookmarkEnd w:id="33"/>
      <w:r w:rsidRPr="00616333">
        <w:rPr>
          <w:lang w:val="en-GB"/>
        </w:rPr>
        <w:t xml:space="preserve">. </w:t>
      </w:r>
    </w:p>
    <w:p w14:paraId="2A7E2031" w14:textId="26437D0C" w:rsidR="00BE0A96" w:rsidRPr="00BE0A96" w:rsidRDefault="00BE0A96" w:rsidP="00BE0A96">
      <w:pPr>
        <w:pStyle w:val="Heading1"/>
      </w:pPr>
      <w:r w:rsidRPr="00BE0A96">
        <w:t xml:space="preserve">Height-dependent configuration for </w:t>
      </w:r>
      <w:r w:rsidR="008F5691">
        <w:t xml:space="preserve">reporting </w:t>
      </w:r>
      <w:r w:rsidR="00DC680A">
        <w:t>measurements</w:t>
      </w:r>
      <w:r w:rsidRPr="00BE0A96">
        <w:t xml:space="preserve"> </w:t>
      </w:r>
    </w:p>
    <w:p w14:paraId="7601701B" w14:textId="1A46CEB2" w:rsidR="007E7014" w:rsidRPr="00DC680A" w:rsidRDefault="007E7014" w:rsidP="007E7014">
      <w:pPr>
        <w:pStyle w:val="Proposal"/>
      </w:pPr>
    </w:p>
    <w:p w14:paraId="37E451F8" w14:textId="1392660E" w:rsidR="00311668" w:rsidRDefault="00311668" w:rsidP="00A9131B">
      <w:r>
        <w:t>In RAN2-121bis,</w:t>
      </w:r>
      <w:r w:rsidR="00310B8E">
        <w:t xml:space="preserve"> for MO configuration parameters,</w:t>
      </w:r>
      <w:r>
        <w:t xml:space="preserve"> </w:t>
      </w:r>
      <w:r w:rsidR="00A9131B">
        <w:t xml:space="preserve">it was agreed that </w:t>
      </w:r>
      <w:r w:rsidR="00040E25" w:rsidRPr="00040E25">
        <w:t>SSB-</w:t>
      </w:r>
      <w:proofErr w:type="spellStart"/>
      <w:r w:rsidR="00040E25" w:rsidRPr="00040E25">
        <w:t>ToMeasure</w:t>
      </w:r>
      <w:proofErr w:type="spellEnd"/>
      <w:r w:rsidR="00040E25">
        <w:t xml:space="preserve"> can</w:t>
      </w:r>
      <w:r w:rsidR="00A9131B">
        <w:t xml:space="preserve"> be configured with height-dependent more-than-one configurations/values</w:t>
      </w:r>
      <w:r w:rsidR="00C917B9">
        <w:t>. H</w:t>
      </w:r>
      <w:r w:rsidR="00A9131B">
        <w:t>ow to specify</w:t>
      </w:r>
      <w:r w:rsidR="00C917B9">
        <w:t xml:space="preserve"> it, as well as UE behavior on L1 and L3 measurement</w:t>
      </w:r>
      <w:r w:rsidR="00A9131B">
        <w:t xml:space="preserve"> </w:t>
      </w:r>
      <w:r w:rsidR="00C917B9">
        <w:t>are</w:t>
      </w:r>
      <w:r w:rsidR="00A9131B">
        <w:t xml:space="preserve"> FFS.</w:t>
      </w:r>
      <w:r w:rsidR="00E779B3">
        <w:t xml:space="preserve"> For MR configuration parameters it was agreed that at least e</w:t>
      </w:r>
      <w:r w:rsidR="00A9131B">
        <w:t xml:space="preserve">vent A4 threshold and </w:t>
      </w:r>
      <w:proofErr w:type="spellStart"/>
      <w:r w:rsidR="00A9131B">
        <w:t>numberoftriggeringcells</w:t>
      </w:r>
      <w:proofErr w:type="spellEnd"/>
      <w:r w:rsidR="008110A0">
        <w:t xml:space="preserve"> can</w:t>
      </w:r>
      <w:r w:rsidR="008110A0" w:rsidRPr="008110A0">
        <w:t xml:space="preserve"> be configured with height-dependent more-than-one configurations/values</w:t>
      </w:r>
      <w:r w:rsidR="00A9131B">
        <w:t xml:space="preserve">.   </w:t>
      </w:r>
    </w:p>
    <w:p w14:paraId="40A2275B" w14:textId="6CDD97CF" w:rsidR="0045082B" w:rsidRDefault="004918A2" w:rsidP="001E6750">
      <w:r>
        <w:t>For supporting SSB-</w:t>
      </w:r>
      <w:proofErr w:type="spellStart"/>
      <w:r>
        <w:t>ToMeasure</w:t>
      </w:r>
      <w:proofErr w:type="spellEnd"/>
      <w:r>
        <w:t xml:space="preserve"> parameter to be height dependent, RAN2 should discuss how to handle the L1 and L3 filtering for the beams to be measured. For example,</w:t>
      </w:r>
      <w:r w:rsidR="00835F85">
        <w:t xml:space="preserve"> </w:t>
      </w:r>
      <w:r>
        <w:t xml:space="preserve">UE raises above a height and some moments </w:t>
      </w:r>
      <w:r>
        <w:lastRenderedPageBreak/>
        <w:t xml:space="preserve">later comes down to the old height region. If UE was configured to measure less beams when above the height, was </w:t>
      </w:r>
      <w:r w:rsidR="000A6A23">
        <w:t>UE suppose</w:t>
      </w:r>
      <w:r w:rsidR="00D9405B">
        <w:rPr>
          <w:rFonts w:hint="eastAsia"/>
        </w:rPr>
        <w:t>d</w:t>
      </w:r>
      <w:r w:rsidR="000A6A23">
        <w:t xml:space="preserve"> to keep the old samples or always discard? If UE keeps the samples, for how long does the UE keep the samples?</w:t>
      </w:r>
    </w:p>
    <w:p w14:paraId="12E4029D" w14:textId="54415B4C" w:rsidR="004918A2" w:rsidRDefault="00B7533F" w:rsidP="0054364E">
      <w:pPr>
        <w:pStyle w:val="Proposal"/>
        <w:numPr>
          <w:ilvl w:val="0"/>
          <w:numId w:val="3"/>
        </w:numPr>
        <w:tabs>
          <w:tab w:val="clear" w:pos="5556"/>
        </w:tabs>
        <w:ind w:left="1701" w:hanging="1701"/>
      </w:pPr>
      <w:bookmarkStart w:id="34" w:name="_Toc134525454"/>
      <w:bookmarkStart w:id="35" w:name="OLE_LINK2"/>
      <w:bookmarkStart w:id="36" w:name="_Toc134751178"/>
      <w:r>
        <w:t xml:space="preserve">For UE behavior on L1 and L3 </w:t>
      </w:r>
      <w:r w:rsidR="00D82BFF">
        <w:t>measurement,</w:t>
      </w:r>
      <w:r>
        <w:t xml:space="preserve"> </w:t>
      </w:r>
      <w:r w:rsidR="00DE347F">
        <w:t>RAN2 to discuss</w:t>
      </w:r>
      <w:r w:rsidR="00D82BFF">
        <w:t>, f</w:t>
      </w:r>
      <w:r w:rsidR="00DE347F">
        <w:t xml:space="preserve">or example, whether to keep/discard the old samples while UE moves to </w:t>
      </w:r>
      <w:r w:rsidR="00337097">
        <w:t xml:space="preserve">a new height region with </w:t>
      </w:r>
      <w:r w:rsidR="007C012A">
        <w:t xml:space="preserve">a </w:t>
      </w:r>
      <w:r w:rsidR="00337097">
        <w:t>different SSB-</w:t>
      </w:r>
      <w:proofErr w:type="spellStart"/>
      <w:r w:rsidR="00337097">
        <w:t>ToMeasure</w:t>
      </w:r>
      <w:proofErr w:type="spellEnd"/>
      <w:r w:rsidR="00337097">
        <w:t xml:space="preserve"> </w:t>
      </w:r>
      <w:r w:rsidR="001F6EDC">
        <w:t>value</w:t>
      </w:r>
      <w:bookmarkEnd w:id="34"/>
      <w:bookmarkEnd w:id="36"/>
    </w:p>
    <w:bookmarkEnd w:id="35"/>
    <w:p w14:paraId="21CDC4D1" w14:textId="3BBDFC88" w:rsidR="00757FFA" w:rsidRDefault="000A6A23" w:rsidP="001E6750">
      <w:r>
        <w:t>For the A4 threshold to be height dependent, it seems nothing needs to be discussed separately as this seems to be automatically supported when event combinations will be supported.</w:t>
      </w:r>
      <w:r w:rsidR="005B2D5E">
        <w:t xml:space="preserve"> For example, </w:t>
      </w:r>
      <w:r w:rsidR="008B7B21">
        <w:t xml:space="preserve">to support height dependent A4 threshold, </w:t>
      </w:r>
      <w:r w:rsidR="005B2D5E">
        <w:t xml:space="preserve">UE </w:t>
      </w:r>
      <w:r w:rsidR="008B7B21">
        <w:t>can</w:t>
      </w:r>
      <w:r w:rsidR="005B2D5E">
        <w:t xml:space="preserve"> be configured with </w:t>
      </w:r>
      <w:r w:rsidR="00111952">
        <w:t xml:space="preserve">combination between </w:t>
      </w:r>
      <w:r w:rsidR="005B2D5E">
        <w:t xml:space="preserve">event H1 and A4 above a </w:t>
      </w:r>
      <w:r w:rsidR="009D25BA">
        <w:t xml:space="preserve">certain </w:t>
      </w:r>
      <w:r w:rsidR="005B2D5E">
        <w:t>height</w:t>
      </w:r>
      <w:r w:rsidR="003D4637">
        <w:t>,</w:t>
      </w:r>
      <w:r w:rsidR="005B2D5E">
        <w:t xml:space="preserve"> </w:t>
      </w:r>
      <w:r w:rsidR="009D25BA">
        <w:t>or</w:t>
      </w:r>
      <w:r w:rsidR="005B2D5E">
        <w:t xml:space="preserve"> </w:t>
      </w:r>
      <w:r w:rsidR="004659E5">
        <w:t xml:space="preserve">combination between </w:t>
      </w:r>
      <w:r w:rsidR="003D4637">
        <w:t xml:space="preserve">event </w:t>
      </w:r>
      <w:r w:rsidR="005B2D5E">
        <w:t>H2</w:t>
      </w:r>
      <w:r w:rsidR="003D4637">
        <w:t xml:space="preserve"> and A4 below a</w:t>
      </w:r>
      <w:r w:rsidR="009D25BA">
        <w:t xml:space="preserve"> certain</w:t>
      </w:r>
      <w:r w:rsidR="003D4637">
        <w:t xml:space="preserve"> height.</w:t>
      </w:r>
    </w:p>
    <w:p w14:paraId="25AE8EAA" w14:textId="7B2CB3FD" w:rsidR="000A6A23" w:rsidRDefault="00757FFA" w:rsidP="0054364E">
      <w:pPr>
        <w:pStyle w:val="Proposal"/>
        <w:numPr>
          <w:ilvl w:val="0"/>
          <w:numId w:val="3"/>
        </w:numPr>
        <w:tabs>
          <w:tab w:val="clear" w:pos="5556"/>
        </w:tabs>
        <w:ind w:left="1701" w:hanging="1701"/>
      </w:pPr>
      <w:bookmarkStart w:id="37" w:name="_Toc134525455"/>
      <w:bookmarkStart w:id="38" w:name="_Toc134751179"/>
      <w:r>
        <w:t xml:space="preserve">Height dependent A4 threshold can be supported by </w:t>
      </w:r>
      <w:r w:rsidR="00020704">
        <w:t xml:space="preserve">the </w:t>
      </w:r>
      <w:r w:rsidR="00FC6B17">
        <w:t xml:space="preserve">combination between </w:t>
      </w:r>
      <w:r>
        <w:t>event H1 and A4</w:t>
      </w:r>
      <w:r w:rsidR="00681FE9">
        <w:t>,</w:t>
      </w:r>
      <w:r>
        <w:t xml:space="preserve"> </w:t>
      </w:r>
      <w:r w:rsidR="00FC6B17">
        <w:t>or</w:t>
      </w:r>
      <w:r w:rsidR="004659E5">
        <w:t xml:space="preserve"> combination between</w:t>
      </w:r>
      <w:r w:rsidR="00FC6B17">
        <w:t xml:space="preserve"> event H2 and A4</w:t>
      </w:r>
      <w:bookmarkEnd w:id="37"/>
      <w:bookmarkEnd w:id="38"/>
    </w:p>
    <w:p w14:paraId="389B977A" w14:textId="4899E59B" w:rsidR="007100B5" w:rsidRDefault="000A6A23" w:rsidP="001E6750">
      <w:r>
        <w:t xml:space="preserve">For number of triggering cells to be height dependent, RAN2 needs to discuss how to </w:t>
      </w:r>
      <w:r w:rsidR="00137817">
        <w:t>define</w:t>
      </w:r>
      <w:r w:rsidR="00FD2FBF">
        <w:t xml:space="preserve"> </w:t>
      </w:r>
      <w:r>
        <w:t xml:space="preserve">the </w:t>
      </w:r>
      <w:r w:rsidR="004B6F3D">
        <w:t>procedure</w:t>
      </w:r>
      <w:r>
        <w:t>. One thing to consider is how to handle cases like</w:t>
      </w:r>
      <w:r w:rsidR="003F7579">
        <w:t>:</w:t>
      </w:r>
      <w:r>
        <w:t xml:space="preserve"> if </w:t>
      </w:r>
      <w:proofErr w:type="spellStart"/>
      <w:r w:rsidR="00D318ED" w:rsidRPr="0054364E">
        <w:rPr>
          <w:i/>
          <w:iCs/>
        </w:rPr>
        <w:t>numberoftriggeringcells</w:t>
      </w:r>
      <w:proofErr w:type="spellEnd"/>
      <w:r w:rsidR="00D318ED" w:rsidRPr="0054364E">
        <w:rPr>
          <w:i/>
          <w:iCs/>
        </w:rPr>
        <w:t xml:space="preserve"> </w:t>
      </w:r>
      <w:r>
        <w:t>exceeds the configured threshold with H1 an</w:t>
      </w:r>
      <w:r w:rsidR="0046032B">
        <w:t>d</w:t>
      </w:r>
      <w:r>
        <w:t xml:space="preserve"> then UE goes to height H2 and there the configured </w:t>
      </w:r>
      <w:proofErr w:type="spellStart"/>
      <w:r w:rsidR="00D318ED">
        <w:t>n</w:t>
      </w:r>
      <w:r w:rsidR="00D318ED" w:rsidRPr="0054364E">
        <w:rPr>
          <w:i/>
          <w:iCs/>
        </w:rPr>
        <w:t>umberoftriggeringcells</w:t>
      </w:r>
      <w:proofErr w:type="spellEnd"/>
      <w:r w:rsidR="00D318ED">
        <w:t xml:space="preserve"> </w:t>
      </w:r>
      <w:r>
        <w:t>is less, does UE trigger</w:t>
      </w:r>
      <w:r w:rsidR="00DB46F5">
        <w:t xml:space="preserve"> the measurement reporting</w:t>
      </w:r>
      <w:r>
        <w:t xml:space="preserve"> again? If no</w:t>
      </w:r>
      <w:r w:rsidR="00DB46F5">
        <w:t>t</w:t>
      </w:r>
      <w:r>
        <w:t xml:space="preserve">, how is it avoided? Does the list length need to </w:t>
      </w:r>
      <w:r w:rsidR="006D64D1">
        <w:t>be configured</w:t>
      </w:r>
      <w:r>
        <w:t xml:space="preserve"> below the new </w:t>
      </w:r>
      <w:proofErr w:type="spellStart"/>
      <w:r w:rsidR="00D318ED" w:rsidRPr="0054364E">
        <w:rPr>
          <w:i/>
          <w:iCs/>
        </w:rPr>
        <w:t>numberoftriggeringcells</w:t>
      </w:r>
      <w:proofErr w:type="spellEnd"/>
      <w:r w:rsidR="00D318ED">
        <w:t xml:space="preserve"> </w:t>
      </w:r>
      <w:r>
        <w:t>and then go up again to trigger the measurement</w:t>
      </w:r>
      <w:r w:rsidR="00D5140D">
        <w:t xml:space="preserve"> reporting</w:t>
      </w:r>
      <w:r>
        <w:t>?</w:t>
      </w:r>
    </w:p>
    <w:p w14:paraId="3EFBFDDE" w14:textId="0AF45BC5" w:rsidR="009C2FD6" w:rsidRDefault="00FA3382" w:rsidP="0054364E">
      <w:pPr>
        <w:pStyle w:val="Proposal"/>
        <w:numPr>
          <w:ilvl w:val="0"/>
          <w:numId w:val="3"/>
        </w:numPr>
        <w:tabs>
          <w:tab w:val="clear" w:pos="5556"/>
        </w:tabs>
        <w:ind w:left="1701" w:hanging="1701"/>
      </w:pPr>
      <w:bookmarkStart w:id="39" w:name="_Toc134525456"/>
      <w:bookmarkStart w:id="40" w:name="_Toc134751180"/>
      <w:r>
        <w:t>For h</w:t>
      </w:r>
      <w:r w:rsidR="009C2FD6">
        <w:t>eight dependent</w:t>
      </w:r>
      <w:r w:rsidR="009C2FD6" w:rsidRPr="0054364E">
        <w:rPr>
          <w:i/>
          <w:iCs/>
        </w:rPr>
        <w:t xml:space="preserve"> </w:t>
      </w:r>
      <w:proofErr w:type="spellStart"/>
      <w:r w:rsidR="009C2FD6" w:rsidRPr="0054364E">
        <w:rPr>
          <w:i/>
          <w:iCs/>
        </w:rPr>
        <w:t>numberoftriggeringcells</w:t>
      </w:r>
      <w:proofErr w:type="spellEnd"/>
      <w:r>
        <w:t xml:space="preserve">, RAN2 to discuss how to handle </w:t>
      </w:r>
      <w:r w:rsidR="00F76AD5">
        <w:t xml:space="preserve">the parameter update </w:t>
      </w:r>
      <w:r w:rsidR="00F1008F">
        <w:t>during height switching</w:t>
      </w:r>
      <w:bookmarkEnd w:id="39"/>
      <w:bookmarkEnd w:id="40"/>
    </w:p>
    <w:p w14:paraId="153349E4" w14:textId="6C821714" w:rsidR="001E6750" w:rsidRPr="001E6750" w:rsidRDefault="001D3022" w:rsidP="001E6750">
      <w:pPr>
        <w:rPr>
          <w:rFonts w:eastAsia="Times New Roman"/>
          <w:lang w:val="en-GB"/>
        </w:rPr>
      </w:pPr>
      <w:r>
        <w:t>In addition to the parameters agreed in RAN2-121bis</w:t>
      </w:r>
      <w:r w:rsidR="00C045A7">
        <w:t xml:space="preserve">, </w:t>
      </w:r>
      <w:r>
        <w:t>i</w:t>
      </w:r>
      <w:r w:rsidRPr="001E6750">
        <w:t xml:space="preserve">n </w:t>
      </w:r>
      <w:r w:rsidR="001E6750" w:rsidRPr="001E6750">
        <w:t xml:space="preserve">the height dependent measurement report configuration, </w:t>
      </w:r>
      <w:r w:rsidR="00FC3C6F">
        <w:t>other</w:t>
      </w:r>
      <w:r w:rsidR="00FC3C6F" w:rsidRPr="001E6750">
        <w:t xml:space="preserve"> </w:t>
      </w:r>
      <w:r w:rsidR="001E6750" w:rsidRPr="001E6750">
        <w:t>selected parameters may</w:t>
      </w:r>
      <w:r w:rsidR="00015664">
        <w:t xml:space="preserve"> also</w:t>
      </w:r>
      <w:r w:rsidR="001E6750" w:rsidRPr="001E6750">
        <w:t xml:space="preserve"> be configured with different values corresponding to the UE height. For example, report interval</w:t>
      </w:r>
      <w:r w:rsidR="001E6750" w:rsidRPr="001E6750">
        <w:rPr>
          <w:rFonts w:hint="eastAsia"/>
        </w:rPr>
        <w:t>,</w:t>
      </w:r>
      <w:r w:rsidR="001E6750" w:rsidRPr="001E6750">
        <w:t xml:space="preserve"> report amount and maximum number of non-serving cells in the </w:t>
      </w:r>
      <w:proofErr w:type="spellStart"/>
      <w:r w:rsidR="001E6750" w:rsidRPr="0054364E">
        <w:rPr>
          <w:i/>
          <w:iCs/>
        </w:rPr>
        <w:t>ReportConfigNR</w:t>
      </w:r>
      <w:proofErr w:type="spellEnd"/>
      <w:r w:rsidR="001E6750" w:rsidRPr="001E6750">
        <w:t xml:space="preserve"> can be configured corresponding to different heights.</w:t>
      </w:r>
      <w:r w:rsidR="001E6750">
        <w:t xml:space="preserve"> These should not lead </w:t>
      </w:r>
      <w:r w:rsidR="009A0A6C">
        <w:t xml:space="preserve">to </w:t>
      </w:r>
      <w:r w:rsidR="001E6750">
        <w:t xml:space="preserve">issues on updating filters or other ongoing procedures </w:t>
      </w:r>
      <w:r w:rsidR="009A0A6C">
        <w:t xml:space="preserve">that the </w:t>
      </w:r>
      <w:r w:rsidR="001E6750">
        <w:t>UE might have.</w:t>
      </w:r>
    </w:p>
    <w:p w14:paraId="6BA65AAF" w14:textId="01E546AE" w:rsidR="001E6750" w:rsidRPr="00DC680A" w:rsidRDefault="001E6750" w:rsidP="001E6750">
      <w:pPr>
        <w:pStyle w:val="Proposal"/>
        <w:numPr>
          <w:ilvl w:val="0"/>
          <w:numId w:val="3"/>
        </w:numPr>
        <w:tabs>
          <w:tab w:val="clear" w:pos="5556"/>
        </w:tabs>
        <w:ind w:left="1701" w:hanging="1701"/>
      </w:pPr>
      <w:bookmarkStart w:id="41" w:name="_Toc134525457"/>
      <w:bookmarkStart w:id="42" w:name="OLE_LINK9"/>
      <w:bookmarkStart w:id="43" w:name="_Toc134751181"/>
      <w:r>
        <w:t xml:space="preserve">Support height dependent configuration for at least the following parameters: </w:t>
      </w:r>
      <w:r w:rsidRPr="001E6750">
        <w:t>report interval</w:t>
      </w:r>
      <w:r w:rsidRPr="001E6750">
        <w:rPr>
          <w:rFonts w:hint="eastAsia"/>
        </w:rPr>
        <w:t>,</w:t>
      </w:r>
      <w:r w:rsidRPr="001E6750">
        <w:t xml:space="preserve"> report amount and maximum number of non-serving cells</w:t>
      </w:r>
      <w:bookmarkEnd w:id="41"/>
      <w:bookmarkEnd w:id="43"/>
    </w:p>
    <w:bookmarkEnd w:id="42"/>
    <w:p w14:paraId="28932892" w14:textId="7FE24BDF" w:rsidR="007B31DF" w:rsidRDefault="007B31DF" w:rsidP="007B31DF">
      <w:pPr>
        <w:pStyle w:val="Proposal"/>
        <w:rPr>
          <w:rFonts w:eastAsia="Times New Roman"/>
          <w:lang w:val="en-GB"/>
        </w:rPr>
      </w:pPr>
    </w:p>
    <w:p w14:paraId="27859696" w14:textId="048BD346" w:rsidR="000000FF" w:rsidRPr="0054364E" w:rsidRDefault="000000FF" w:rsidP="0054364E">
      <w:r w:rsidRPr="0054364E">
        <w:t>Finally</w:t>
      </w:r>
      <w:r>
        <w:t>, RAN2 also discussed on how to handle certain special cases related to the height dependen</w:t>
      </w:r>
      <w:r w:rsidR="00822696">
        <w:t>t</w:t>
      </w:r>
      <w:r>
        <w:t xml:space="preserve"> parameters and agreed the following:</w:t>
      </w:r>
    </w:p>
    <w:p w14:paraId="46907ADE" w14:textId="2E42C7A1" w:rsidR="000000FF" w:rsidRPr="006E3D1A" w:rsidRDefault="000000FF" w:rsidP="0068614D">
      <w:pPr>
        <w:pStyle w:val="Doc-text2"/>
        <w:numPr>
          <w:ilvl w:val="0"/>
          <w:numId w:val="21"/>
        </w:numPr>
        <w:pBdr>
          <w:top w:val="single" w:sz="4" w:space="1" w:color="auto"/>
          <w:left w:val="single" w:sz="4" w:space="4" w:color="auto"/>
          <w:bottom w:val="single" w:sz="4" w:space="1" w:color="auto"/>
          <w:right w:val="single" w:sz="4" w:space="4" w:color="auto"/>
        </w:pBdr>
        <w:tabs>
          <w:tab w:val="clear" w:pos="1622"/>
          <w:tab w:val="left" w:pos="900"/>
        </w:tabs>
        <w:ind w:left="360" w:hanging="270"/>
      </w:pPr>
      <w:r w:rsidRPr="00D947FC">
        <w:t>If a height-specific value is not explicitly configured for certain height, whether to keep using the value that was used or consider the parameter as released (</w:t>
      </w:r>
      <w:proofErr w:type="gramStart"/>
      <w:r w:rsidRPr="00D947FC">
        <w:t>i.e.</w:t>
      </w:r>
      <w:proofErr w:type="gramEnd"/>
      <w:r w:rsidRPr="00D947FC">
        <w:t xml:space="preserve"> parameter/value not applicable at this height) should be looked into case by case, and can be clarified by need code, field description, or procedural text as needed.</w:t>
      </w:r>
      <w:r>
        <w:t xml:space="preserve">   FFS details</w:t>
      </w:r>
    </w:p>
    <w:p w14:paraId="17907C04" w14:textId="274B0CDF" w:rsidR="000000FF" w:rsidRDefault="000000FF" w:rsidP="007B31DF">
      <w:pPr>
        <w:pStyle w:val="Proposal"/>
        <w:rPr>
          <w:rFonts w:eastAsia="Times New Roman"/>
          <w:lang w:val="en-GB"/>
        </w:rPr>
      </w:pPr>
    </w:p>
    <w:p w14:paraId="05399504" w14:textId="7B64DF04" w:rsidR="000000FF" w:rsidRDefault="000000FF" w:rsidP="0054364E">
      <w:r w:rsidRPr="0054364E">
        <w:t>In our view this is a stage-3 detail</w:t>
      </w:r>
      <w:r>
        <w:t xml:space="preserve"> which is pending on if “</w:t>
      </w:r>
      <w:r w:rsidRPr="00D947FC">
        <w:t>If a height-specific value is not explicitly configured for certain height</w:t>
      </w:r>
      <w:r>
        <w:t>” is possible. Hence, R</w:t>
      </w:r>
      <w:r w:rsidR="00896CCC">
        <w:t>AN</w:t>
      </w:r>
      <w:r>
        <w:t>2 should first initiate the TS 38.331 CR for the height dependent parameter configurations after progressing on more stage-2 like aspects. During CR review, R</w:t>
      </w:r>
      <w:r w:rsidR="00896CCC">
        <w:t>AN</w:t>
      </w:r>
      <w:r>
        <w:t>2 should pay attention to how the values can be released and whether other stage-3 assumption</w:t>
      </w:r>
      <w:r w:rsidR="005518F6">
        <w:t>s</w:t>
      </w:r>
      <w:r>
        <w:t xml:space="preserve"> are needed.</w:t>
      </w:r>
    </w:p>
    <w:p w14:paraId="10CCC9B2" w14:textId="6B74A2EF" w:rsidR="005D6176" w:rsidRPr="00B73F6B" w:rsidRDefault="001E0CB6" w:rsidP="00B73F6B">
      <w:pPr>
        <w:pStyle w:val="Proposal"/>
        <w:numPr>
          <w:ilvl w:val="0"/>
          <w:numId w:val="3"/>
        </w:numPr>
        <w:tabs>
          <w:tab w:val="clear" w:pos="5556"/>
        </w:tabs>
        <w:ind w:left="1701" w:hanging="1701"/>
      </w:pPr>
      <w:bookmarkStart w:id="44" w:name="_Toc134751182"/>
      <w:r>
        <w:t>RAN2 t</w:t>
      </w:r>
      <w:r w:rsidR="00B73F6B">
        <w:t>o</w:t>
      </w:r>
      <w:r>
        <w:t xml:space="preserve"> pay attention to how the values can be released and whether other stage-3 assumptions are needed</w:t>
      </w:r>
      <w:r w:rsidR="00B73F6B">
        <w:t xml:space="preserve"> once the RRC CR is available</w:t>
      </w:r>
      <w:r>
        <w:t>.</w:t>
      </w:r>
      <w:bookmarkEnd w:id="44"/>
    </w:p>
    <w:p w14:paraId="30882BA7" w14:textId="3829D1DC" w:rsidR="007B31DF" w:rsidRPr="001E6750" w:rsidRDefault="007B31DF" w:rsidP="007B31DF">
      <w:pPr>
        <w:pStyle w:val="Heading1"/>
        <w:rPr>
          <w:rStyle w:val="Emphasis"/>
          <w:i w:val="0"/>
          <w:lang w:val="en-US"/>
        </w:rPr>
      </w:pPr>
      <w:r w:rsidRPr="001E6750">
        <w:rPr>
          <w:rStyle w:val="Emphasis"/>
          <w:i w:val="0"/>
          <w:lang w:val="en-US"/>
        </w:rPr>
        <w:t>Report content on events H1 and H2</w:t>
      </w:r>
    </w:p>
    <w:p w14:paraId="2AC02607" w14:textId="258E4D92" w:rsidR="007E7014" w:rsidRDefault="007E7014" w:rsidP="007E7014">
      <w:r w:rsidRPr="001E6750">
        <w:t>In RAN2#1</w:t>
      </w:r>
      <w:r w:rsidR="007B31DF" w:rsidRPr="001E6750">
        <w:t>21</w:t>
      </w:r>
      <w:r w:rsidRPr="001E6750">
        <w:t>, the following agreements were reached for the height event:</w:t>
      </w:r>
    </w:p>
    <w:p w14:paraId="287F98CF" w14:textId="77777777" w:rsidR="007E7014" w:rsidRDefault="007E7014" w:rsidP="007E7014"/>
    <w:tbl>
      <w:tblPr>
        <w:tblStyle w:val="TableGrid"/>
        <w:tblW w:w="0" w:type="auto"/>
        <w:tblLook w:val="04A0" w:firstRow="1" w:lastRow="0" w:firstColumn="1" w:lastColumn="0" w:noHBand="0" w:noVBand="1"/>
      </w:tblPr>
      <w:tblGrid>
        <w:gridCol w:w="9629"/>
      </w:tblGrid>
      <w:tr w:rsidR="007E7014" w14:paraId="43F3ECEC" w14:textId="77777777">
        <w:tc>
          <w:tcPr>
            <w:tcW w:w="9629" w:type="dxa"/>
          </w:tcPr>
          <w:p w14:paraId="69D3D52A" w14:textId="77777777" w:rsidR="007B31DF" w:rsidRDefault="007B31DF" w:rsidP="00DC680A">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pPr>
            <w:r w:rsidRPr="002C564D">
              <w:t>When event H1 or H2 triggers, the content of the measurement report is configurable by the network (</w:t>
            </w:r>
            <w:proofErr w:type="gramStart"/>
            <w:r w:rsidRPr="002C564D">
              <w:t>i.e.</w:t>
            </w:r>
            <w:proofErr w:type="gramEnd"/>
            <w:r w:rsidRPr="002C564D">
              <w:t xml:space="preserve"> it can contain UAV UEs height, location information and</w:t>
            </w:r>
            <w:r>
              <w:t xml:space="preserve">/or </w:t>
            </w:r>
            <w:r w:rsidRPr="002C564D">
              <w:t xml:space="preserve">RSRP/RSRQ measurement results). FFS whether UAV UE’s height is mandatorily </w:t>
            </w:r>
            <w:proofErr w:type="gramStart"/>
            <w:r w:rsidRPr="002C564D">
              <w:t>reported</w:t>
            </w:r>
            <w:proofErr w:type="gramEnd"/>
            <w:r w:rsidRPr="002C564D">
              <w:t xml:space="preserve"> and which parameter/IE is used for height reporting. </w:t>
            </w:r>
          </w:p>
          <w:p w14:paraId="0DA9BE3D" w14:textId="68CE9530" w:rsidR="007E7014" w:rsidRPr="00F05DD8" w:rsidRDefault="007E7014"/>
        </w:tc>
      </w:tr>
    </w:tbl>
    <w:p w14:paraId="7FD4ED80" w14:textId="77777777" w:rsidR="007E7014" w:rsidRPr="00A647DE" w:rsidRDefault="007E7014" w:rsidP="007E7014">
      <w:pPr>
        <w:rPr>
          <w:lang w:val="en-GB"/>
        </w:rPr>
      </w:pPr>
    </w:p>
    <w:p w14:paraId="26A84A8D" w14:textId="77777777" w:rsidR="007E7014" w:rsidRPr="00DA7A13" w:rsidRDefault="007E7014" w:rsidP="007E7014">
      <w:r>
        <w:lastRenderedPageBreak/>
        <w:t xml:space="preserve">As confirmed in RAN2#119, the </w:t>
      </w:r>
      <w:r w:rsidRPr="00DC5EDF">
        <w:t>event H1 (aerial UE height become higher than threshold) and H2 (aerial UE height become lower than threshold</w:t>
      </w:r>
      <w:r>
        <w:t xml:space="preserve">) in LTE will be the baseline for defining similar events in NR. When it comes to the details, several issues need to be discussed by RAN2. </w:t>
      </w:r>
    </w:p>
    <w:p w14:paraId="0075FB14" w14:textId="30CAA1CE" w:rsidR="00F96988" w:rsidRPr="004471C1" w:rsidRDefault="008F007F" w:rsidP="00F96988">
      <w:bookmarkStart w:id="45" w:name="_Toc115084460"/>
      <w:bookmarkStart w:id="46" w:name="_Toc115084492"/>
      <w:bookmarkStart w:id="47" w:name="_Toc115084529"/>
      <w:bookmarkStart w:id="48" w:name="_Toc115084561"/>
      <w:bookmarkStart w:id="49" w:name="_Toc115084593"/>
      <w:bookmarkStart w:id="50" w:name="_Toc115092422"/>
      <w:bookmarkStart w:id="51" w:name="_Toc115092457"/>
      <w:bookmarkStart w:id="52" w:name="_Toc115092492"/>
      <w:bookmarkStart w:id="53" w:name="_Toc115092577"/>
      <w:bookmarkStart w:id="54" w:name="_Toc115092611"/>
      <w:bookmarkEnd w:id="45"/>
      <w:bookmarkEnd w:id="46"/>
      <w:bookmarkEnd w:id="47"/>
      <w:bookmarkEnd w:id="48"/>
      <w:bookmarkEnd w:id="49"/>
      <w:bookmarkEnd w:id="50"/>
      <w:bookmarkEnd w:id="51"/>
      <w:bookmarkEnd w:id="52"/>
      <w:bookmarkEnd w:id="53"/>
      <w:bookmarkEnd w:id="54"/>
      <w:r>
        <w:rPr>
          <w:lang w:val="en-GB"/>
        </w:rPr>
        <w:t>I</w:t>
      </w:r>
      <w:r w:rsidR="00F96988" w:rsidRPr="00CA0246">
        <w:rPr>
          <w:lang w:val="en-GB"/>
        </w:rPr>
        <w:t xml:space="preserve">n our view, the height information should always be in the content of H1/H2 triggered measurement report, and </w:t>
      </w:r>
      <w:r w:rsidR="00F96988" w:rsidRPr="00CA0246">
        <w:t xml:space="preserve">whether to include </w:t>
      </w:r>
      <w:proofErr w:type="spellStart"/>
      <w:r w:rsidR="00F96988" w:rsidRPr="00CA0246">
        <w:t>CommonLocationInfo</w:t>
      </w:r>
      <w:proofErr w:type="spellEnd"/>
      <w:r w:rsidR="00F96988" w:rsidRPr="00CA0246">
        <w:rPr>
          <w:i/>
          <w:iCs/>
        </w:rPr>
        <w:t xml:space="preserve"> </w:t>
      </w:r>
      <w:r w:rsidR="00F96988" w:rsidRPr="00CA0246">
        <w:t>and/or</w:t>
      </w:r>
      <w:r w:rsidR="00F96988" w:rsidRPr="00CA0246">
        <w:rPr>
          <w:i/>
          <w:iCs/>
        </w:rPr>
        <w:t xml:space="preserve"> </w:t>
      </w:r>
      <w:r w:rsidR="00F96988" w:rsidRPr="00CA0246">
        <w:t>RSRP/RSRQ/SINR measurement results</w:t>
      </w:r>
      <w:r w:rsidR="00F96988" w:rsidRPr="00CA0246">
        <w:rPr>
          <w:b/>
          <w:bCs/>
        </w:rPr>
        <w:t xml:space="preserve"> </w:t>
      </w:r>
      <w:r w:rsidR="00F96988" w:rsidRPr="00CA0246">
        <w:t>should be configurable by the network. This configurability is important for interference control as it controls the size of the measurement report. Further, it is</w:t>
      </w:r>
      <w:r w:rsidR="00F96988" w:rsidRPr="004471C1">
        <w:t xml:space="preserve"> important to have location and height configurable such that UE can still report height even UE would not report its location.</w:t>
      </w:r>
    </w:p>
    <w:p w14:paraId="6527EDAB" w14:textId="238A0196" w:rsidR="008F007F" w:rsidRPr="008F007F" w:rsidRDefault="00F96988" w:rsidP="008F007F">
      <w:pPr>
        <w:pStyle w:val="Proposal"/>
        <w:numPr>
          <w:ilvl w:val="0"/>
          <w:numId w:val="3"/>
        </w:numPr>
        <w:tabs>
          <w:tab w:val="clear" w:pos="5556"/>
        </w:tabs>
        <w:ind w:left="1701" w:hanging="1701"/>
        <w:rPr>
          <w:rFonts w:eastAsia="Times New Roman"/>
          <w:lang w:val="en-GB"/>
        </w:rPr>
      </w:pPr>
      <w:bookmarkStart w:id="55" w:name="_Toc131512687"/>
      <w:bookmarkStart w:id="56" w:name="_Toc134525458"/>
      <w:bookmarkStart w:id="57" w:name="_Toc134751183"/>
      <w:bookmarkEnd w:id="55"/>
      <w:r w:rsidRPr="008F007F">
        <w:rPr>
          <w:rFonts w:eastAsia="Times New Roman"/>
          <w:lang w:val="en-GB"/>
        </w:rPr>
        <w:t>The height information should be mandatory in the height triggered measurement report</w:t>
      </w:r>
      <w:r w:rsidRPr="00DC680A">
        <w:rPr>
          <w:rFonts w:eastAsia="Times New Roman"/>
          <w:lang w:val="en-GB"/>
        </w:rPr>
        <w:t xml:space="preserve"> and RAN2 to confirm the height information can be separately configured</w:t>
      </w:r>
      <w:r w:rsidRPr="008F007F">
        <w:rPr>
          <w:rFonts w:eastAsia="Times New Roman"/>
          <w:lang w:val="en-GB"/>
        </w:rPr>
        <w:t>.</w:t>
      </w:r>
      <w:bookmarkEnd w:id="56"/>
      <w:bookmarkEnd w:id="57"/>
      <w:r w:rsidRPr="008F007F">
        <w:rPr>
          <w:rFonts w:eastAsia="Times New Roman"/>
          <w:lang w:val="en-GB"/>
        </w:rPr>
        <w:t xml:space="preserve"> </w:t>
      </w:r>
    </w:p>
    <w:p w14:paraId="5C01DD71" w14:textId="77777777" w:rsidR="00F96988" w:rsidRPr="000B3937" w:rsidRDefault="00F96988" w:rsidP="00F96988">
      <w:pPr>
        <w:pStyle w:val="Proposal"/>
        <w:rPr>
          <w:rFonts w:eastAsia="Times New Roman"/>
          <w:lang w:val="en-GB"/>
        </w:rPr>
      </w:pPr>
    </w:p>
    <w:p w14:paraId="7F5AC606" w14:textId="0206CD75" w:rsidR="007E7014" w:rsidRPr="00782F71" w:rsidRDefault="007E758E" w:rsidP="007E7014">
      <w:pPr>
        <w:pStyle w:val="Heading1"/>
        <w:rPr>
          <w:rStyle w:val="Emphasis"/>
          <w:i w:val="0"/>
          <w:lang w:val="en-US"/>
        </w:rPr>
      </w:pPr>
      <w:r>
        <w:rPr>
          <w:rStyle w:val="Emphasis"/>
          <w:i w:val="0"/>
          <w:lang w:val="en-US"/>
        </w:rPr>
        <w:t>Even</w:t>
      </w:r>
      <w:r w:rsidR="00AE50A3">
        <w:rPr>
          <w:rStyle w:val="Emphasis"/>
          <w:i w:val="0"/>
          <w:lang w:val="en-US"/>
        </w:rPr>
        <w:t>t</w:t>
      </w:r>
      <w:r>
        <w:rPr>
          <w:rStyle w:val="Emphasis"/>
          <w:i w:val="0"/>
          <w:lang w:val="en-US"/>
        </w:rPr>
        <w:t xml:space="preserve"> combinations</w:t>
      </w:r>
    </w:p>
    <w:p w14:paraId="3D85A743" w14:textId="23451486" w:rsidR="007E758E" w:rsidRDefault="007E758E" w:rsidP="007E7014">
      <w:pPr>
        <w:rPr>
          <w:lang w:val="en-GB"/>
        </w:rPr>
      </w:pPr>
      <w:r>
        <w:rPr>
          <w:lang w:val="en-GB"/>
        </w:rPr>
        <w:t>RAN2 agreed in RAN2#121 the following:</w:t>
      </w:r>
    </w:p>
    <w:p w14:paraId="32602C71" w14:textId="77777777" w:rsidR="007B31DF" w:rsidRPr="00DC680A" w:rsidRDefault="007B31DF" w:rsidP="00A147F9">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51F5E0A1" w14:textId="77777777" w:rsidR="007E758E" w:rsidRDefault="007E758E" w:rsidP="007E7014">
      <w:pPr>
        <w:rPr>
          <w:lang w:val="en-GB"/>
        </w:rPr>
      </w:pPr>
    </w:p>
    <w:p w14:paraId="4FD805DC" w14:textId="0CF3B1C9" w:rsidR="007E7014" w:rsidRPr="000F26D4" w:rsidRDefault="007B31DF" w:rsidP="007E7014">
      <w:pPr>
        <w:rPr>
          <w:b/>
          <w:bCs/>
          <w:lang w:val="en-GB"/>
        </w:rPr>
      </w:pPr>
      <w:r>
        <w:rPr>
          <w:lang w:val="en-GB"/>
        </w:rPr>
        <w:t xml:space="preserve">RAN2 should discuss how to handle </w:t>
      </w:r>
      <w:proofErr w:type="spellStart"/>
      <w:r>
        <w:rPr>
          <w:lang w:val="en-GB"/>
        </w:rPr>
        <w:t>reportOnleave</w:t>
      </w:r>
      <w:proofErr w:type="spellEnd"/>
      <w:r>
        <w:rPr>
          <w:lang w:val="en-GB"/>
        </w:rPr>
        <w:t xml:space="preserve"> for combined events</w:t>
      </w:r>
    </w:p>
    <w:p w14:paraId="2D65B2CC" w14:textId="61CB608A" w:rsidR="007E7014" w:rsidRPr="00DC680A" w:rsidRDefault="007B31DF" w:rsidP="00DC680A">
      <w:pPr>
        <w:pStyle w:val="Proposal"/>
        <w:numPr>
          <w:ilvl w:val="0"/>
          <w:numId w:val="3"/>
        </w:numPr>
        <w:tabs>
          <w:tab w:val="clear" w:pos="5556"/>
        </w:tabs>
        <w:ind w:left="1701" w:hanging="1701"/>
        <w:rPr>
          <w:rFonts w:eastAsia="Times New Roman"/>
          <w:lang w:val="en-GB"/>
        </w:rPr>
      </w:pPr>
      <w:bookmarkStart w:id="58" w:name="_Toc134525459"/>
      <w:bookmarkStart w:id="59" w:name="_Toc134751184"/>
      <w:r w:rsidRPr="00DC680A">
        <w:rPr>
          <w:rFonts w:eastAsia="Times New Roman"/>
          <w:lang w:val="en-GB"/>
        </w:rPr>
        <w:t xml:space="preserve">RAN2 should discuss how to handle </w:t>
      </w:r>
      <w:proofErr w:type="spellStart"/>
      <w:r w:rsidRPr="00DC680A">
        <w:rPr>
          <w:rFonts w:eastAsia="Times New Roman"/>
          <w:lang w:val="en-GB"/>
        </w:rPr>
        <w:t>reportOnleave</w:t>
      </w:r>
      <w:proofErr w:type="spellEnd"/>
      <w:r w:rsidRPr="00DC680A">
        <w:rPr>
          <w:rFonts w:eastAsia="Times New Roman"/>
          <w:lang w:val="en-GB"/>
        </w:rPr>
        <w:t xml:space="preserve"> for combined events</w:t>
      </w:r>
      <w:r w:rsidR="00DC680A">
        <w:rPr>
          <w:rFonts w:eastAsia="Times New Roman"/>
          <w:lang w:val="en-GB"/>
        </w:rPr>
        <w:t>.</w:t>
      </w:r>
      <w:bookmarkEnd w:id="58"/>
      <w:bookmarkEnd w:id="59"/>
    </w:p>
    <w:p w14:paraId="0A0DE827" w14:textId="77777777" w:rsidR="007E758E" w:rsidRPr="00DC680A" w:rsidRDefault="007E758E" w:rsidP="007E7014">
      <w:pPr>
        <w:pStyle w:val="Proposal"/>
        <w:rPr>
          <w:highlight w:val="yellow"/>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60" w:name="_In-sequence_SDU_delivery"/>
      <w:bookmarkEnd w:id="60"/>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2FA36F4" w14:textId="39FE1949" w:rsidR="00B73F6B"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\f O \n \h \z \t "Observation" \c </w:instrText>
      </w:r>
      <w:r w:rsidRPr="003A6D33">
        <w:rPr>
          <w:b w:val="0"/>
          <w:bCs/>
        </w:rPr>
        <w:fldChar w:fldCharType="separate"/>
      </w:r>
      <w:hyperlink w:anchor="_Toc134751166" w:history="1">
        <w:r w:rsidR="00B73F6B" w:rsidRPr="0041507F">
          <w:rPr>
            <w:rStyle w:val="Hyperlink"/>
            <w:noProof/>
          </w:rPr>
          <w:t>Observation 1</w:t>
        </w:r>
        <w:r w:rsidR="00B73F6B">
          <w:rPr>
            <w:rFonts w:asciiTheme="minorHAnsi" w:eastAsiaTheme="minorEastAsia" w:hAnsiTheme="minorHAnsi" w:cstheme="minorBidi"/>
            <w:b w:val="0"/>
            <w:noProof/>
            <w:sz w:val="22"/>
            <w:szCs w:val="22"/>
            <w:lang w:val="en-FI" w:eastAsia="en-FI"/>
          </w:rPr>
          <w:tab/>
        </w:r>
        <w:r w:rsidR="00B73F6B" w:rsidRPr="0041507F">
          <w:rPr>
            <w:rStyle w:val="Hyperlink"/>
            <w:noProof/>
          </w:rPr>
          <w:t xml:space="preserve">ECC decision (22)07 </w:t>
        </w:r>
        <w:r w:rsidR="00B73F6B" w:rsidRPr="0041507F">
          <w:rPr>
            <w:rStyle w:val="Hyperlink"/>
            <w:rFonts w:cs="Arial"/>
            <w:noProof/>
          </w:rPr>
          <w:t>on “harmonised framework on aerial UE usage in MFCN harmonised bands” requires</w:t>
        </w:r>
        <w:r w:rsidR="00B73F6B" w:rsidRPr="0041507F">
          <w:rPr>
            <w:rStyle w:val="Hyperlink"/>
            <w:noProof/>
          </w:rPr>
          <w:t xml:space="preserve"> a mechanism to ensure that aerial UE respect no-transmit zones.</w:t>
        </w:r>
      </w:hyperlink>
    </w:p>
    <w:p w14:paraId="641B1D9C" w14:textId="446F2A0C"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67" w:history="1">
        <w:r w:rsidRPr="0041507F">
          <w:rPr>
            <w:rStyle w:val="Hyperlink"/>
            <w:noProof/>
          </w:rPr>
          <w:t>Observation 2</w:t>
        </w:r>
        <w:r>
          <w:rPr>
            <w:rFonts w:asciiTheme="minorHAnsi" w:eastAsiaTheme="minorEastAsia" w:hAnsiTheme="minorHAnsi" w:cstheme="minorBidi"/>
            <w:b w:val="0"/>
            <w:noProof/>
            <w:sz w:val="22"/>
            <w:szCs w:val="22"/>
            <w:lang w:val="en-FI" w:eastAsia="en-FI"/>
          </w:rPr>
          <w:tab/>
        </w:r>
        <w:r w:rsidRPr="0041507F">
          <w:rPr>
            <w:rStyle w:val="Hyperlink"/>
            <w:noProof/>
          </w:rPr>
          <w:t>It is beneficial for the mobile network to know when a UAV is entering or leaving a certain area or zone, e.g., a no-transmit zone.</w:t>
        </w:r>
      </w:hyperlink>
    </w:p>
    <w:p w14:paraId="7F4BC3E2" w14:textId="414607D3"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68" w:history="1">
        <w:r w:rsidRPr="0041507F">
          <w:rPr>
            <w:rStyle w:val="Hyperlink"/>
            <w:noProof/>
          </w:rPr>
          <w:t>Observation 3</w:t>
        </w:r>
        <w:r>
          <w:rPr>
            <w:rFonts w:asciiTheme="minorHAnsi" w:eastAsiaTheme="minorEastAsia" w:hAnsiTheme="minorHAnsi" w:cstheme="minorBidi"/>
            <w:b w:val="0"/>
            <w:noProof/>
            <w:sz w:val="22"/>
            <w:szCs w:val="22"/>
            <w:lang w:val="en-FI" w:eastAsia="en-FI"/>
          </w:rPr>
          <w:tab/>
        </w:r>
        <w:r w:rsidRPr="0041507F">
          <w:rPr>
            <w:rStyle w:val="Hyperlink"/>
            <w:noProof/>
          </w:rPr>
          <w:t>Location event and height event can be configured to indicate whether a drone is entering or leaving an NTZ.</w:t>
        </w:r>
      </w:hyperlink>
    </w:p>
    <w:p w14:paraId="18A6A99E" w14:textId="4293AF8C"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69" w:history="1">
        <w:r w:rsidRPr="0041507F">
          <w:rPr>
            <w:rStyle w:val="Hyperlink"/>
            <w:noProof/>
          </w:rPr>
          <w:t>Observation 4</w:t>
        </w:r>
        <w:r>
          <w:rPr>
            <w:rFonts w:asciiTheme="minorHAnsi" w:eastAsiaTheme="minorEastAsia" w:hAnsiTheme="minorHAnsi" w:cstheme="minorBidi"/>
            <w:b w:val="0"/>
            <w:noProof/>
            <w:sz w:val="22"/>
            <w:szCs w:val="22"/>
            <w:lang w:val="en-FI" w:eastAsia="en-FI"/>
          </w:rPr>
          <w:tab/>
        </w:r>
        <w:r w:rsidRPr="0041507F">
          <w:rPr>
            <w:rStyle w:val="Hyperlink"/>
            <w:noProof/>
          </w:rPr>
          <w:t>For ensuring mobility performance, an aerial UE should be configured with single cell RSRP reporting with short TTT.</w:t>
        </w:r>
      </w:hyperlink>
    </w:p>
    <w:p w14:paraId="4CC5D742" w14:textId="5905E73C"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0" w:history="1">
        <w:r w:rsidRPr="0041507F">
          <w:rPr>
            <w:rStyle w:val="Hyperlink"/>
            <w:noProof/>
          </w:rPr>
          <w:t>Observation 5</w:t>
        </w:r>
        <w:r>
          <w:rPr>
            <w:rFonts w:asciiTheme="minorHAnsi" w:eastAsiaTheme="minorEastAsia" w:hAnsiTheme="minorHAnsi" w:cstheme="minorBidi"/>
            <w:b w:val="0"/>
            <w:noProof/>
            <w:sz w:val="22"/>
            <w:szCs w:val="22"/>
            <w:lang w:val="en-FI" w:eastAsia="en-FI"/>
          </w:rPr>
          <w:tab/>
        </w:r>
        <w:r w:rsidRPr="0041507F">
          <w:rPr>
            <w:rStyle w:val="Hyperlink"/>
            <w:noProof/>
          </w:rPr>
          <w:t>RSRP measurement reporting for mobility can create high load in the network. Therefore, it is beneficial to control the amount of reporting.</w:t>
        </w:r>
      </w:hyperlink>
    </w:p>
    <w:p w14:paraId="5CDFD60B" w14:textId="4D451531"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1" w:history="1">
        <w:r w:rsidRPr="0041507F">
          <w:rPr>
            <w:rStyle w:val="Hyperlink"/>
            <w:noProof/>
          </w:rPr>
          <w:t>Observation 6</w:t>
        </w:r>
        <w:r>
          <w:rPr>
            <w:rFonts w:asciiTheme="minorHAnsi" w:eastAsiaTheme="minorEastAsia" w:hAnsiTheme="minorHAnsi" w:cstheme="minorBidi"/>
            <w:b w:val="0"/>
            <w:noProof/>
            <w:sz w:val="22"/>
            <w:szCs w:val="22"/>
            <w:lang w:val="en-FI" w:eastAsia="en-FI"/>
          </w:rPr>
          <w:tab/>
        </w:r>
        <w:r w:rsidRPr="0041507F">
          <w:rPr>
            <w:rStyle w:val="Hyperlink"/>
            <w:noProof/>
          </w:rPr>
          <w:t>TTT and hysteresis control reporting amount when the value for the metric goes back and forth of the threshold value potentially causing entering/leaving of the condition.</w:t>
        </w:r>
      </w:hyperlink>
    </w:p>
    <w:p w14:paraId="12234063" w14:textId="4973D8BF"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2" w:history="1">
        <w:r w:rsidRPr="0041507F">
          <w:rPr>
            <w:rStyle w:val="Hyperlink"/>
            <w:noProof/>
          </w:rPr>
          <w:t>Observation 7</w:t>
        </w:r>
        <w:r>
          <w:rPr>
            <w:rFonts w:asciiTheme="minorHAnsi" w:eastAsiaTheme="minorEastAsia" w:hAnsiTheme="minorHAnsi" w:cstheme="minorBidi"/>
            <w:b w:val="0"/>
            <w:noProof/>
            <w:sz w:val="22"/>
            <w:szCs w:val="22"/>
            <w:lang w:val="en-FI" w:eastAsia="en-FI"/>
          </w:rPr>
          <w:tab/>
        </w:r>
        <w:r w:rsidRPr="0041507F">
          <w:rPr>
            <w:rStyle w:val="Hyperlink"/>
            <w:noProof/>
          </w:rPr>
          <w:t>Parameters reportInterval and reportAmount</w:t>
        </w:r>
        <w:r w:rsidRPr="0041507F">
          <w:rPr>
            <w:rStyle w:val="Hyperlink"/>
            <w:i/>
            <w:noProof/>
          </w:rPr>
          <w:t xml:space="preserve"> do not</w:t>
        </w:r>
        <w:r w:rsidRPr="0041507F">
          <w:rPr>
            <w:rStyle w:val="Hyperlink"/>
            <w:noProof/>
          </w:rPr>
          <w:t xml:space="preserve"> affect reporting when the event is triggered due to different cells.</w:t>
        </w:r>
      </w:hyperlink>
    </w:p>
    <w:p w14:paraId="6D69C804" w14:textId="7D3DFC15"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3" w:history="1">
        <w:r w:rsidRPr="0041507F">
          <w:rPr>
            <w:rStyle w:val="Hyperlink"/>
            <w:noProof/>
          </w:rPr>
          <w:t>Observation 8</w:t>
        </w:r>
        <w:r>
          <w:rPr>
            <w:rFonts w:asciiTheme="minorHAnsi" w:eastAsiaTheme="minorEastAsia" w:hAnsiTheme="minorHAnsi" w:cstheme="minorBidi"/>
            <w:b w:val="0"/>
            <w:noProof/>
            <w:sz w:val="22"/>
            <w:szCs w:val="22"/>
            <w:lang w:val="en-FI" w:eastAsia="en-FI"/>
          </w:rPr>
          <w:tab/>
        </w:r>
        <w:r w:rsidRPr="0041507F">
          <w:rPr>
            <w:rStyle w:val="Hyperlink"/>
            <w:noProof/>
          </w:rPr>
          <w:t>When an aerial UE flies or takes off, an event triggers consecutively due to different cells. This may lead to redundant UE measurement reports.</w:t>
        </w:r>
      </w:hyperlink>
    </w:p>
    <w:p w14:paraId="41CFDAE6" w14:textId="0E2B282F" w:rsidR="00615114" w:rsidRPr="003A6D33" w:rsidRDefault="00615114" w:rsidP="00615114">
      <w:pPr>
        <w:pStyle w:val="BodyText"/>
        <w:rPr>
          <w:b/>
          <w:bCs/>
        </w:rPr>
      </w:pPr>
      <w:r w:rsidRPr="003A6D33">
        <w:rPr>
          <w:b/>
          <w:bCs/>
        </w:rPr>
        <w:fldChar w:fldCharType="end"/>
      </w:r>
    </w:p>
    <w:p w14:paraId="5E0D7AED" w14:textId="77777777" w:rsidR="00615114" w:rsidRPr="003A6D33" w:rsidRDefault="00615114" w:rsidP="00615114">
      <w:pPr>
        <w:pStyle w:val="BodyText"/>
      </w:pPr>
      <w:r w:rsidRPr="003A6D33">
        <w:t>Based on the discussion in the previous sections we propose the following:</w:t>
      </w:r>
    </w:p>
    <w:p w14:paraId="59F3719F" w14:textId="0151D221" w:rsidR="00B73F6B"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34751174" w:history="1">
        <w:r w:rsidR="00B73F6B" w:rsidRPr="00240C9A">
          <w:rPr>
            <w:rStyle w:val="Hyperlink"/>
            <w:rFonts w:eastAsia="Times New Roman"/>
            <w:noProof/>
          </w:rPr>
          <w:t>Proposal 1</w:t>
        </w:r>
        <w:r w:rsidR="00B73F6B">
          <w:rPr>
            <w:rFonts w:asciiTheme="minorHAnsi" w:eastAsiaTheme="minorEastAsia" w:hAnsiTheme="minorHAnsi" w:cstheme="minorBidi"/>
            <w:b w:val="0"/>
            <w:noProof/>
            <w:sz w:val="22"/>
            <w:szCs w:val="22"/>
            <w:lang w:val="en-FI" w:eastAsia="en-FI"/>
          </w:rPr>
          <w:tab/>
        </w:r>
        <w:r w:rsidR="00B73F6B" w:rsidRPr="00240C9A">
          <w:rPr>
            <w:rStyle w:val="Hyperlink"/>
            <w:rFonts w:eastAsia="Times New Roman"/>
            <w:noProof/>
          </w:rPr>
          <w:t>RAN2 to study and specify mechanisms to fulfill requirements on no-transmit zone in ECC Decision (22)07</w:t>
        </w:r>
      </w:hyperlink>
    </w:p>
    <w:p w14:paraId="6B5AD67E" w14:textId="3024E4B2"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5" w:history="1">
        <w:r w:rsidRPr="00240C9A">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240C9A">
          <w:rPr>
            <w:rStyle w:val="Hyperlink"/>
            <w:rFonts w:eastAsia="Times New Roman"/>
            <w:noProof/>
          </w:rPr>
          <w:t>Support UE reports triggered when a UAV enters or leaves a special area or zone, e.g., a no-transmit zone.</w:t>
        </w:r>
      </w:hyperlink>
    </w:p>
    <w:p w14:paraId="16E37F76" w14:textId="79C50E63"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6" w:history="1">
        <w:r w:rsidRPr="00240C9A">
          <w:rPr>
            <w:rStyle w:val="Hyperlink"/>
            <w:rFonts w:eastAsia="Times New Roman"/>
            <w:noProof/>
          </w:rPr>
          <w:t>Proposal 3</w:t>
        </w:r>
        <w:r>
          <w:rPr>
            <w:rFonts w:asciiTheme="minorHAnsi" w:eastAsiaTheme="minorEastAsia" w:hAnsiTheme="minorHAnsi" w:cstheme="minorBidi"/>
            <w:b w:val="0"/>
            <w:noProof/>
            <w:sz w:val="22"/>
            <w:szCs w:val="22"/>
            <w:lang w:val="en-FI" w:eastAsia="en-FI"/>
          </w:rPr>
          <w:tab/>
        </w:r>
        <w:r w:rsidRPr="00240C9A">
          <w:rPr>
            <w:rStyle w:val="Hyperlink"/>
            <w:rFonts w:eastAsia="Times New Roman"/>
            <w:noProof/>
          </w:rPr>
          <w:t>RAN2 to work on signalling for location reporting and consider the decision from SA2 and SA3 on the topic of user consent-based location report once available.</w:t>
        </w:r>
      </w:hyperlink>
    </w:p>
    <w:p w14:paraId="309D83B2" w14:textId="1FD3D5DB"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7" w:history="1">
        <w:r w:rsidRPr="00240C9A">
          <w:rPr>
            <w:rStyle w:val="Hyperlink"/>
            <w:rFonts w:eastAsia="Times New Roman"/>
            <w:noProof/>
          </w:rPr>
          <w:t>Proposal 4</w:t>
        </w:r>
        <w:r>
          <w:rPr>
            <w:rFonts w:asciiTheme="minorHAnsi" w:eastAsiaTheme="minorEastAsia" w:hAnsiTheme="minorHAnsi" w:cstheme="minorBidi"/>
            <w:b w:val="0"/>
            <w:noProof/>
            <w:sz w:val="22"/>
            <w:szCs w:val="22"/>
            <w:lang w:val="en-FI" w:eastAsia="en-FI"/>
          </w:rPr>
          <w:tab/>
        </w:r>
        <w:r w:rsidRPr="00240C9A">
          <w:rPr>
            <w:rStyle w:val="Hyperlink"/>
            <w:noProof/>
          </w:rPr>
          <w:t>Introduce a prohibit timer in reporting configuration for the purpose of mobility control: UE is prevented from triggering the measurement report for a configurable time after the event is first triggered and first report is sent.</w:t>
        </w:r>
      </w:hyperlink>
    </w:p>
    <w:p w14:paraId="25D2157D" w14:textId="09C04F3F"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8" w:history="1">
        <w:r w:rsidRPr="00240C9A">
          <w:rPr>
            <w:rStyle w:val="Hyperlink"/>
            <w:noProof/>
          </w:rPr>
          <w:t>Proposal 5</w:t>
        </w:r>
        <w:r>
          <w:rPr>
            <w:rFonts w:asciiTheme="minorHAnsi" w:eastAsiaTheme="minorEastAsia" w:hAnsiTheme="minorHAnsi" w:cstheme="minorBidi"/>
            <w:b w:val="0"/>
            <w:noProof/>
            <w:sz w:val="22"/>
            <w:szCs w:val="22"/>
            <w:lang w:val="en-FI" w:eastAsia="en-FI"/>
          </w:rPr>
          <w:tab/>
        </w:r>
        <w:r w:rsidRPr="00240C9A">
          <w:rPr>
            <w:rStyle w:val="Hyperlink"/>
            <w:noProof/>
          </w:rPr>
          <w:t>For UE behavior on L1 and L3 measurement, RAN2 to discuss, for example, whether to keep/discard the old samples while UE moves to a new height region with a different SSB-ToMeasure value</w:t>
        </w:r>
      </w:hyperlink>
    </w:p>
    <w:p w14:paraId="078F1D60" w14:textId="4E6A40FC"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79" w:history="1">
        <w:r w:rsidRPr="00240C9A">
          <w:rPr>
            <w:rStyle w:val="Hyperlink"/>
            <w:noProof/>
          </w:rPr>
          <w:t>Proposal 6</w:t>
        </w:r>
        <w:r>
          <w:rPr>
            <w:rFonts w:asciiTheme="minorHAnsi" w:eastAsiaTheme="minorEastAsia" w:hAnsiTheme="minorHAnsi" w:cstheme="minorBidi"/>
            <w:b w:val="0"/>
            <w:noProof/>
            <w:sz w:val="22"/>
            <w:szCs w:val="22"/>
            <w:lang w:val="en-FI" w:eastAsia="en-FI"/>
          </w:rPr>
          <w:tab/>
        </w:r>
        <w:r w:rsidRPr="00240C9A">
          <w:rPr>
            <w:rStyle w:val="Hyperlink"/>
            <w:noProof/>
          </w:rPr>
          <w:t>Height dependent A4 threshold can be supported by the combination between event H1 and A4, or combination between event H2 and A4</w:t>
        </w:r>
      </w:hyperlink>
    </w:p>
    <w:p w14:paraId="1866B1DC" w14:textId="41062152"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80" w:history="1">
        <w:r w:rsidRPr="00240C9A">
          <w:rPr>
            <w:rStyle w:val="Hyperlink"/>
            <w:noProof/>
          </w:rPr>
          <w:t>Proposal 7</w:t>
        </w:r>
        <w:r>
          <w:rPr>
            <w:rFonts w:asciiTheme="minorHAnsi" w:eastAsiaTheme="minorEastAsia" w:hAnsiTheme="minorHAnsi" w:cstheme="minorBidi"/>
            <w:b w:val="0"/>
            <w:noProof/>
            <w:sz w:val="22"/>
            <w:szCs w:val="22"/>
            <w:lang w:val="en-FI" w:eastAsia="en-FI"/>
          </w:rPr>
          <w:tab/>
        </w:r>
        <w:r w:rsidRPr="00240C9A">
          <w:rPr>
            <w:rStyle w:val="Hyperlink"/>
            <w:noProof/>
          </w:rPr>
          <w:t>For height dependent</w:t>
        </w:r>
        <w:r w:rsidRPr="00240C9A">
          <w:rPr>
            <w:rStyle w:val="Hyperlink"/>
            <w:i/>
            <w:iCs/>
            <w:noProof/>
          </w:rPr>
          <w:t xml:space="preserve"> numberoftriggeringcells</w:t>
        </w:r>
        <w:r w:rsidRPr="00240C9A">
          <w:rPr>
            <w:rStyle w:val="Hyperlink"/>
            <w:noProof/>
          </w:rPr>
          <w:t>, RAN2 to discuss how to handle the parameter update during height switching</w:t>
        </w:r>
      </w:hyperlink>
    </w:p>
    <w:p w14:paraId="36C2116D" w14:textId="60C27C60"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81" w:history="1">
        <w:r w:rsidRPr="00240C9A">
          <w:rPr>
            <w:rStyle w:val="Hyperlink"/>
            <w:noProof/>
          </w:rPr>
          <w:t>Proposal 8</w:t>
        </w:r>
        <w:r>
          <w:rPr>
            <w:rFonts w:asciiTheme="minorHAnsi" w:eastAsiaTheme="minorEastAsia" w:hAnsiTheme="minorHAnsi" w:cstheme="minorBidi"/>
            <w:b w:val="0"/>
            <w:noProof/>
            <w:sz w:val="22"/>
            <w:szCs w:val="22"/>
            <w:lang w:val="en-FI" w:eastAsia="en-FI"/>
          </w:rPr>
          <w:tab/>
        </w:r>
        <w:r w:rsidRPr="00240C9A">
          <w:rPr>
            <w:rStyle w:val="Hyperlink"/>
            <w:noProof/>
          </w:rPr>
          <w:t>Support height dependent configuration for at least the following parameters: report interval, report amount and maximum number of non-serving cells</w:t>
        </w:r>
      </w:hyperlink>
    </w:p>
    <w:p w14:paraId="4E234788" w14:textId="13EEE6BB"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82" w:history="1">
        <w:r w:rsidRPr="00240C9A">
          <w:rPr>
            <w:rStyle w:val="Hyperlink"/>
            <w:noProof/>
          </w:rPr>
          <w:t>Proposal 9</w:t>
        </w:r>
        <w:r>
          <w:rPr>
            <w:rFonts w:asciiTheme="minorHAnsi" w:eastAsiaTheme="minorEastAsia" w:hAnsiTheme="minorHAnsi" w:cstheme="minorBidi"/>
            <w:b w:val="0"/>
            <w:noProof/>
            <w:sz w:val="22"/>
            <w:szCs w:val="22"/>
            <w:lang w:val="en-FI" w:eastAsia="en-FI"/>
          </w:rPr>
          <w:tab/>
        </w:r>
        <w:r w:rsidRPr="00240C9A">
          <w:rPr>
            <w:rStyle w:val="Hyperlink"/>
            <w:noProof/>
          </w:rPr>
          <w:t>RAN2 to pay attention to how the values can be released and whether other stage-3 assumptions are needed once the RRC CR is available.</w:t>
        </w:r>
      </w:hyperlink>
    </w:p>
    <w:p w14:paraId="3A7C0A71" w14:textId="2414C073"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83" w:history="1">
        <w:r w:rsidRPr="00240C9A">
          <w:rPr>
            <w:rStyle w:val="Hyperlink"/>
            <w:rFonts w:eastAsia="Times New Roman"/>
            <w:noProof/>
          </w:rPr>
          <w:t>Proposal 10</w:t>
        </w:r>
        <w:r>
          <w:rPr>
            <w:rFonts w:asciiTheme="minorHAnsi" w:eastAsiaTheme="minorEastAsia" w:hAnsiTheme="minorHAnsi" w:cstheme="minorBidi"/>
            <w:b w:val="0"/>
            <w:noProof/>
            <w:sz w:val="22"/>
            <w:szCs w:val="22"/>
            <w:lang w:val="en-FI" w:eastAsia="en-FI"/>
          </w:rPr>
          <w:tab/>
        </w:r>
        <w:r w:rsidRPr="00240C9A">
          <w:rPr>
            <w:rStyle w:val="Hyperlink"/>
            <w:rFonts w:eastAsia="Times New Roman"/>
            <w:noProof/>
          </w:rPr>
          <w:t>The height information should be mandatory in the height triggered measurement report and RAN2 to confirm the height information can be separately configured.</w:t>
        </w:r>
      </w:hyperlink>
    </w:p>
    <w:p w14:paraId="43A96951" w14:textId="4E5B2CB0" w:rsidR="00B73F6B" w:rsidRDefault="00B73F6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4751184" w:history="1">
        <w:r w:rsidRPr="00240C9A">
          <w:rPr>
            <w:rStyle w:val="Hyperlink"/>
            <w:rFonts w:eastAsia="Times New Roman"/>
            <w:noProof/>
          </w:rPr>
          <w:t>Proposal 11</w:t>
        </w:r>
        <w:r>
          <w:rPr>
            <w:rFonts w:asciiTheme="minorHAnsi" w:eastAsiaTheme="minorEastAsia" w:hAnsiTheme="minorHAnsi" w:cstheme="minorBidi"/>
            <w:b w:val="0"/>
            <w:noProof/>
            <w:sz w:val="22"/>
            <w:szCs w:val="22"/>
            <w:lang w:val="en-FI" w:eastAsia="en-FI"/>
          </w:rPr>
          <w:tab/>
        </w:r>
        <w:r w:rsidRPr="00240C9A">
          <w:rPr>
            <w:rStyle w:val="Hyperlink"/>
            <w:rFonts w:eastAsia="Times New Roman"/>
            <w:noProof/>
          </w:rPr>
          <w:t>RAN2 should discuss how to handle reportOnleave for combined events.</w:t>
        </w:r>
      </w:hyperlink>
    </w:p>
    <w:p w14:paraId="0973D097" w14:textId="553A2137" w:rsidR="00F507D1" w:rsidRPr="00CE0424" w:rsidRDefault="00615114" w:rsidP="00615114">
      <w:pPr>
        <w:pStyle w:val="Heading1"/>
      </w:pPr>
      <w:r w:rsidRPr="003A6D33">
        <w:rPr>
          <w:b/>
          <w:bCs/>
          <w:lang w:val="en-US"/>
        </w:rPr>
        <w:fldChar w:fldCharType="end"/>
      </w:r>
      <w:r w:rsidR="00F507D1" w:rsidRPr="00CE0424">
        <w:t>References</w:t>
      </w:r>
    </w:p>
    <w:p w14:paraId="5CC2AC40" w14:textId="7E7523D6" w:rsidR="00B52410" w:rsidRPr="00DC680A" w:rsidRDefault="003D352C" w:rsidP="005F3954">
      <w:pPr>
        <w:pStyle w:val="Reference"/>
        <w:rPr>
          <w:rFonts w:eastAsia="Batang" w:cs="Arial"/>
          <w:bCs/>
        </w:rPr>
      </w:pPr>
      <w:bookmarkStart w:id="61" w:name="_Ref509923152"/>
      <w:bookmarkStart w:id="62" w:name="_Ref110426397"/>
      <w:bookmarkStart w:id="63" w:name="_Ref505610477"/>
      <w:bookmarkStart w:id="64" w:name="_Ref174151459"/>
      <w:bookmarkStart w:id="65" w:name="_Ref189809556"/>
      <w:r w:rsidRPr="00DC680A">
        <w:rPr>
          <w:rFonts w:eastAsia="Batang" w:cs="Arial"/>
          <w:bCs/>
        </w:rPr>
        <w:t>RP-1</w:t>
      </w:r>
      <w:r w:rsidR="00320E4E" w:rsidRPr="00DC680A">
        <w:rPr>
          <w:rFonts w:eastAsia="Batang" w:cs="Arial"/>
          <w:bCs/>
        </w:rPr>
        <w:t>23600</w:t>
      </w:r>
      <w:r w:rsidR="00200924" w:rsidRPr="00DC680A">
        <w:rPr>
          <w:rFonts w:eastAsia="Batang" w:cs="Arial"/>
          <w:bCs/>
        </w:rPr>
        <w:t xml:space="preserve">, </w:t>
      </w:r>
      <w:r w:rsidR="00DF4B31" w:rsidRPr="00DF4B31">
        <w:rPr>
          <w:rFonts w:eastAsia="Batang" w:cs="Arial"/>
          <w:bCs/>
        </w:rPr>
        <w:t>New WID on NR support for UAV (Uncrewed Aerial Vehicles)</w:t>
      </w:r>
      <w:r w:rsidR="00A748E8" w:rsidRPr="00DC680A">
        <w:rPr>
          <w:rFonts w:eastAsia="Batang" w:cs="Arial"/>
          <w:bCs/>
        </w:rPr>
        <w:t xml:space="preserve">, </w:t>
      </w:r>
      <w:r w:rsidRPr="00DC680A">
        <w:rPr>
          <w:rFonts w:eastAsia="Batang" w:cs="Arial"/>
          <w:bCs/>
        </w:rPr>
        <w:t>RAN</w:t>
      </w:r>
      <w:r w:rsidR="00A748E8" w:rsidRPr="00DC680A">
        <w:rPr>
          <w:rFonts w:eastAsia="Batang" w:cs="Arial"/>
          <w:bCs/>
        </w:rPr>
        <w:t>#</w:t>
      </w:r>
      <w:r w:rsidR="00DF4B31" w:rsidRPr="00DC680A">
        <w:rPr>
          <w:rFonts w:eastAsia="Batang" w:cs="Arial"/>
          <w:bCs/>
        </w:rPr>
        <w:t>94</w:t>
      </w:r>
      <w:r w:rsidRPr="00DC680A">
        <w:rPr>
          <w:rFonts w:eastAsia="Batang" w:cs="Arial"/>
          <w:bCs/>
        </w:rPr>
        <w:t xml:space="preserve">, </w:t>
      </w:r>
      <w:r w:rsidR="00A748E8" w:rsidRPr="00DC680A">
        <w:rPr>
          <w:rFonts w:eastAsia="Batang" w:cs="Arial"/>
          <w:bCs/>
        </w:rPr>
        <w:t>Dec 20</w:t>
      </w:r>
      <w:bookmarkEnd w:id="61"/>
      <w:r w:rsidR="00914E5A" w:rsidRPr="00DC680A">
        <w:rPr>
          <w:rFonts w:eastAsia="Batang" w:cs="Arial"/>
          <w:bCs/>
        </w:rPr>
        <w:t>21</w:t>
      </w:r>
      <w:bookmarkEnd w:id="62"/>
    </w:p>
    <w:p w14:paraId="65CC5ABA" w14:textId="309632AC" w:rsidR="00F07FF9" w:rsidRPr="00DC680A" w:rsidRDefault="00F07FF9" w:rsidP="00F07FF9">
      <w:pPr>
        <w:pStyle w:val="Reference"/>
        <w:rPr>
          <w:rFonts w:eastAsia="Batang" w:cs="Arial"/>
          <w:bCs/>
        </w:rPr>
      </w:pPr>
      <w:bookmarkStart w:id="66" w:name="_Ref510710834"/>
      <w:bookmarkStart w:id="67" w:name="_Ref115074639"/>
      <w:bookmarkEnd w:id="63"/>
      <w:bookmarkEnd w:id="64"/>
      <w:bookmarkEnd w:id="65"/>
      <w:r w:rsidRPr="00DC680A">
        <w:rPr>
          <w:rFonts w:eastAsia="Batang" w:cs="Arial"/>
          <w:bCs/>
        </w:rPr>
        <w:t>TR 36.</w:t>
      </w:r>
      <w:r w:rsidR="00E77EC9" w:rsidRPr="00DC680A">
        <w:rPr>
          <w:rFonts w:eastAsia="Batang" w:cs="Arial"/>
          <w:bCs/>
        </w:rPr>
        <w:t>331</w:t>
      </w:r>
      <w:r w:rsidRPr="00DC680A">
        <w:rPr>
          <w:rFonts w:eastAsia="Batang" w:cs="Arial"/>
          <w:bCs/>
        </w:rPr>
        <w:t xml:space="preserve">, </w:t>
      </w:r>
      <w:bookmarkEnd w:id="66"/>
      <w:r w:rsidR="00BD5B12" w:rsidRPr="00DC680A">
        <w:rPr>
          <w:rFonts w:eastAsia="Batang" w:cs="Arial"/>
          <w:bCs/>
        </w:rPr>
        <w:t>Evolved Universal Terrestrial Radio Access (E-UTRA); Radio Resource Control (RRC); Protocol specification</w:t>
      </w:r>
      <w:bookmarkEnd w:id="67"/>
    </w:p>
    <w:p w14:paraId="291320B9" w14:textId="77777777" w:rsidR="00FC6F85" w:rsidRPr="00DC680A" w:rsidRDefault="003325EE" w:rsidP="007071CE">
      <w:pPr>
        <w:pStyle w:val="Reference"/>
        <w:rPr>
          <w:rFonts w:eastAsia="Batang" w:cs="Arial"/>
          <w:bCs/>
        </w:rPr>
      </w:pPr>
      <w:bookmarkStart w:id="68" w:name="_Ref115083204"/>
      <w:r w:rsidRPr="00DC680A">
        <w:rPr>
          <w:rFonts w:eastAsia="Batang" w:cs="Arial"/>
          <w:bCs/>
        </w:rPr>
        <w:t>TS 38.</w:t>
      </w:r>
      <w:r w:rsidR="00CF7E66" w:rsidRPr="00DC680A">
        <w:rPr>
          <w:rFonts w:eastAsia="Batang" w:cs="Arial"/>
          <w:bCs/>
        </w:rPr>
        <w:t>331</w:t>
      </w:r>
      <w:r w:rsidRPr="00DC680A">
        <w:rPr>
          <w:rFonts w:eastAsia="Batang" w:cs="Arial"/>
          <w:bCs/>
        </w:rPr>
        <w:t xml:space="preserve">, </w:t>
      </w:r>
      <w:r w:rsidR="00B25BFC" w:rsidRPr="00DC680A">
        <w:rPr>
          <w:rFonts w:eastAsia="Batang" w:cs="Arial"/>
          <w:bCs/>
        </w:rPr>
        <w:t xml:space="preserve">NR; </w:t>
      </w:r>
      <w:r w:rsidR="003C5D3D" w:rsidRPr="00DC680A">
        <w:rPr>
          <w:rFonts w:eastAsia="Batang" w:cs="Arial"/>
          <w:bCs/>
        </w:rPr>
        <w:t>Radio Resource Control (RRC) protocol specification</w:t>
      </w:r>
      <w:bookmarkEnd w:id="68"/>
      <w:r w:rsidR="007071CE" w:rsidRPr="00DC680A">
        <w:rPr>
          <w:rFonts w:eastAsia="Batang" w:cs="Arial"/>
          <w:bCs/>
        </w:rPr>
        <w:t xml:space="preserve"> </w:t>
      </w:r>
    </w:p>
    <w:p w14:paraId="5893C50D" w14:textId="181CEF40" w:rsidR="007071CE" w:rsidRPr="00DC680A" w:rsidRDefault="007071CE" w:rsidP="007071CE">
      <w:pPr>
        <w:pStyle w:val="Reference"/>
        <w:rPr>
          <w:rFonts w:eastAsia="Batang" w:cs="Arial"/>
          <w:bCs/>
        </w:rPr>
      </w:pPr>
      <w:bookmarkStart w:id="69" w:name="_Ref118301175"/>
      <w:r w:rsidRPr="00DC680A">
        <w:rPr>
          <w:rFonts w:eastAsia="Batang" w:cs="Arial"/>
          <w:bCs/>
        </w:rPr>
        <w:t>TR 36.777, Enhanced LTE support for aerial vehicles</w:t>
      </w:r>
      <w:bookmarkEnd w:id="69"/>
    </w:p>
    <w:p w14:paraId="37FB79BC" w14:textId="77777777" w:rsidR="007071CE" w:rsidRPr="00DC680A" w:rsidRDefault="007071CE" w:rsidP="007071CE">
      <w:pPr>
        <w:pStyle w:val="Reference"/>
        <w:rPr>
          <w:rFonts w:eastAsia="Batang" w:cs="Arial"/>
          <w:bCs/>
        </w:rPr>
      </w:pPr>
      <w:bookmarkStart w:id="70" w:name="_Ref110426353"/>
      <w:r w:rsidRPr="00DC680A">
        <w:rPr>
          <w:rFonts w:eastAsia="Batang" w:cs="Arial"/>
          <w:bCs/>
        </w:rPr>
        <w:t>R2-1807257, Controlling the amount of measurement reporting, Ericsson, RAN2#102, Korea, May 2018</w:t>
      </w:r>
      <w:bookmarkEnd w:id="70"/>
    </w:p>
    <w:p w14:paraId="4579FE5C" w14:textId="77777777" w:rsidR="007071CE" w:rsidRPr="00DC680A" w:rsidRDefault="007071CE" w:rsidP="007071CE">
      <w:pPr>
        <w:pStyle w:val="Reference"/>
        <w:rPr>
          <w:rFonts w:eastAsia="Batang" w:cs="Arial"/>
          <w:bCs/>
        </w:rPr>
      </w:pPr>
      <w:bookmarkStart w:id="71" w:name="_Ref109830946"/>
      <w:bookmarkStart w:id="72" w:name="_Ref110502102"/>
      <w:bookmarkStart w:id="73" w:name="_Ref510740324"/>
      <w:r w:rsidRPr="00DC680A">
        <w:rPr>
          <w:rFonts w:eastAsia="Batang" w:cs="Arial"/>
          <w:bCs/>
        </w:rPr>
        <w:t xml:space="preserve">TR 23.754, </w:t>
      </w:r>
      <w:bookmarkEnd w:id="71"/>
      <w:r w:rsidRPr="00DC680A">
        <w:rPr>
          <w:rFonts w:eastAsia="Batang" w:cs="Arial"/>
          <w:bCs/>
        </w:rPr>
        <w:t xml:space="preserve">Study on supporting Unmanned Aerial Systems (UAS) connectivity, </w:t>
      </w:r>
      <w:proofErr w:type="gramStart"/>
      <w:r w:rsidRPr="00DC680A">
        <w:rPr>
          <w:rFonts w:eastAsia="Batang" w:cs="Arial"/>
          <w:bCs/>
        </w:rPr>
        <w:t>Identification</w:t>
      </w:r>
      <w:proofErr w:type="gramEnd"/>
      <w:r w:rsidRPr="00DC680A">
        <w:rPr>
          <w:rFonts w:eastAsia="Batang" w:cs="Arial"/>
          <w:bCs/>
        </w:rPr>
        <w:t xml:space="preserve"> and tracking</w:t>
      </w:r>
      <w:bookmarkEnd w:id="72"/>
      <w:bookmarkEnd w:id="73"/>
    </w:p>
    <w:p w14:paraId="741FD9D3" w14:textId="77777777" w:rsidR="007071CE" w:rsidRPr="00DC680A" w:rsidRDefault="007071CE" w:rsidP="007071CE">
      <w:pPr>
        <w:pStyle w:val="Reference"/>
        <w:rPr>
          <w:rFonts w:eastAsia="Batang" w:cs="Arial"/>
          <w:bCs/>
        </w:rPr>
      </w:pPr>
      <w:bookmarkStart w:id="74" w:name="_Ref110868854"/>
      <w:r w:rsidRPr="00DC680A">
        <w:rPr>
          <w:rFonts w:eastAsia="Batang" w:cs="Arial"/>
          <w:bCs/>
        </w:rPr>
        <w:t>RWS-210189, New WID on Enhanced NR Support for Aerial Vehicles, Ericsson</w:t>
      </w:r>
      <w:bookmarkEnd w:id="74"/>
      <w:r w:rsidRPr="00DC680A">
        <w:rPr>
          <w:rFonts w:eastAsia="Batang" w:cs="Arial"/>
          <w:bCs/>
        </w:rPr>
        <w:t xml:space="preserve">   </w:t>
      </w:r>
    </w:p>
    <w:p w14:paraId="04F45BA8" w14:textId="77777777" w:rsidR="007071CE" w:rsidRPr="00DC680A" w:rsidRDefault="007071CE" w:rsidP="007071CE">
      <w:pPr>
        <w:pStyle w:val="Reference"/>
        <w:rPr>
          <w:rFonts w:eastAsia="Batang" w:cs="Arial"/>
          <w:bCs/>
        </w:rPr>
      </w:pPr>
      <w:bookmarkStart w:id="75" w:name="_Ref110870412"/>
      <w:r w:rsidRPr="00DC680A">
        <w:rPr>
          <w:rFonts w:eastAsia="Batang" w:cs="Arial"/>
          <w:bCs/>
        </w:rPr>
        <w:t>R2-1807257, Controlling the amount of measurement reporting, Ericsson</w:t>
      </w:r>
      <w:bookmarkEnd w:id="75"/>
    </w:p>
    <w:p w14:paraId="2D6CF401" w14:textId="77777777" w:rsidR="007071CE" w:rsidRPr="00DC680A" w:rsidRDefault="007071CE" w:rsidP="007071CE">
      <w:pPr>
        <w:pStyle w:val="Reference"/>
        <w:rPr>
          <w:rFonts w:eastAsia="Batang" w:cs="Arial"/>
          <w:bCs/>
        </w:rPr>
      </w:pPr>
      <w:bookmarkStart w:id="76" w:name="_Ref110870596"/>
      <w:r w:rsidRPr="00DC680A">
        <w:rPr>
          <w:rFonts w:eastAsia="Batang" w:cs="Arial"/>
          <w:bCs/>
        </w:rPr>
        <w:t>R2-1814762, Remaining aspects of measurement reporting, Ericsson, NTT Docomo, Nokia, Nokia Shanghai Bell</w:t>
      </w:r>
      <w:bookmarkEnd w:id="76"/>
    </w:p>
    <w:p w14:paraId="47D99824" w14:textId="77777777" w:rsidR="007071CE" w:rsidRPr="00DC680A" w:rsidRDefault="007071CE" w:rsidP="007071CE">
      <w:pPr>
        <w:pStyle w:val="Reference"/>
        <w:rPr>
          <w:rFonts w:eastAsia="Batang" w:cs="Arial"/>
          <w:bCs/>
        </w:rPr>
      </w:pPr>
      <w:bookmarkStart w:id="77" w:name="OLE_LINK8"/>
      <w:bookmarkStart w:id="78" w:name="_Ref525223252"/>
      <w:r w:rsidRPr="00DC680A">
        <w:rPr>
          <w:rFonts w:eastAsia="Batang" w:cs="Arial"/>
          <w:bCs/>
        </w:rPr>
        <w:t>R2-1814760</w:t>
      </w:r>
      <w:bookmarkEnd w:id="77"/>
      <w:r w:rsidRPr="00DC680A">
        <w:rPr>
          <w:rFonts w:eastAsia="Batang" w:cs="Arial"/>
          <w:bCs/>
        </w:rPr>
        <w:t>, Prohibit timer for measurement reporting, Ericsson, NTT Docomo, Nokia, Nokia Shanghai Bell, RAN2#103bis, Chengdu, China, 8th - 12th October 2018</w:t>
      </w:r>
      <w:bookmarkEnd w:id="78"/>
    </w:p>
    <w:p w14:paraId="01AE6563" w14:textId="77777777" w:rsidR="007071CE" w:rsidRPr="00DC680A" w:rsidRDefault="007071CE" w:rsidP="007071CE">
      <w:pPr>
        <w:pStyle w:val="Reference"/>
        <w:rPr>
          <w:rFonts w:eastAsia="Batang" w:cs="Arial"/>
          <w:bCs/>
        </w:rPr>
      </w:pPr>
      <w:bookmarkStart w:id="79" w:name="_Ref525826756"/>
      <w:r w:rsidRPr="00DC680A">
        <w:rPr>
          <w:rFonts w:eastAsia="Batang" w:cs="Arial"/>
          <w:bCs/>
        </w:rPr>
        <w:t>R2-1814754, Introduction of capability for timer t3xx for Rel-15 Aerial W, Ericsson, RAN2#103bis, Chengdu, China, 8th - 12th October 2018</w:t>
      </w:r>
      <w:bookmarkEnd w:id="79"/>
    </w:p>
    <w:p w14:paraId="1E358C25" w14:textId="77777777" w:rsidR="00347565" w:rsidRPr="00DC680A" w:rsidRDefault="00347565" w:rsidP="00347565">
      <w:pPr>
        <w:pStyle w:val="Reference"/>
        <w:rPr>
          <w:rFonts w:eastAsia="Batang" w:cs="Arial"/>
          <w:bCs/>
        </w:rPr>
      </w:pPr>
      <w:bookmarkStart w:id="80" w:name="OLE_LINK6"/>
      <w:bookmarkStart w:id="81" w:name="_Ref127373654"/>
      <w:r w:rsidRPr="00DC680A">
        <w:rPr>
          <w:rFonts w:eastAsia="Batang" w:cs="Arial"/>
          <w:bCs/>
        </w:rPr>
        <w:t>ECC report 348</w:t>
      </w:r>
      <w:bookmarkEnd w:id="80"/>
      <w:r w:rsidRPr="00DC680A">
        <w:rPr>
          <w:rFonts w:eastAsia="Batang" w:cs="Arial"/>
          <w:bCs/>
        </w:rPr>
        <w:t>, Usage of aerial UE in 1.8 GHz, 2GHz and 2.6 GHz frequency bands with MHCN AAS base stations, Nov. 2022</w:t>
      </w:r>
      <w:bookmarkEnd w:id="81"/>
    </w:p>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924A7" w14:textId="77777777" w:rsidR="004D7693" w:rsidRDefault="004D7693">
      <w:r>
        <w:separator/>
      </w:r>
    </w:p>
  </w:endnote>
  <w:endnote w:type="continuationSeparator" w:id="0">
    <w:p w14:paraId="2F545879" w14:textId="77777777" w:rsidR="004D7693" w:rsidRDefault="004D7693">
      <w:r>
        <w:continuationSeparator/>
      </w:r>
    </w:p>
  </w:endnote>
  <w:endnote w:type="continuationNotice" w:id="1">
    <w:p w14:paraId="2410B418" w14:textId="77777777" w:rsidR="004D7693" w:rsidRDefault="004D7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AC653" w14:textId="77777777" w:rsidR="004D7693" w:rsidRDefault="004D7693">
      <w:r>
        <w:separator/>
      </w:r>
    </w:p>
  </w:footnote>
  <w:footnote w:type="continuationSeparator" w:id="0">
    <w:p w14:paraId="124DDF05" w14:textId="77777777" w:rsidR="004D7693" w:rsidRDefault="004D7693">
      <w:r>
        <w:continuationSeparator/>
      </w:r>
    </w:p>
  </w:footnote>
  <w:footnote w:type="continuationNotice" w:id="1">
    <w:p w14:paraId="2A24C052" w14:textId="77777777" w:rsidR="004D7693" w:rsidRDefault="004D76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1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1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0"/>
  </w:num>
  <w:num w:numId="2" w16cid:durableId="2007173614">
    <w:abstractNumId w:val="11"/>
  </w:num>
  <w:num w:numId="3" w16cid:durableId="364183904">
    <w:abstractNumId w:val="6"/>
  </w:num>
  <w:num w:numId="4" w16cid:durableId="1666976476">
    <w:abstractNumId w:val="7"/>
  </w:num>
  <w:num w:numId="5" w16cid:durableId="1407999183">
    <w:abstractNumId w:val="3"/>
  </w:num>
  <w:num w:numId="6" w16cid:durableId="965812426">
    <w:abstractNumId w:val="10"/>
  </w:num>
  <w:num w:numId="7" w16cid:durableId="312027794">
    <w:abstractNumId w:val="14"/>
  </w:num>
  <w:num w:numId="8" w16cid:durableId="1384477142">
    <w:abstractNumId w:val="4"/>
  </w:num>
  <w:num w:numId="9" w16cid:durableId="1556159113">
    <w:abstractNumId w:val="12"/>
  </w:num>
  <w:num w:numId="10" w16cid:durableId="708649350">
    <w:abstractNumId w:val="16"/>
  </w:num>
  <w:num w:numId="11" w16cid:durableId="505361976">
    <w:abstractNumId w:val="13"/>
  </w:num>
  <w:num w:numId="12" w16cid:durableId="1747612304">
    <w:abstractNumId w:val="18"/>
  </w:num>
  <w:num w:numId="13" w16cid:durableId="370492790">
    <w:abstractNumId w:val="17"/>
  </w:num>
  <w:num w:numId="14" w16cid:durableId="1033728520">
    <w:abstractNumId w:val="1"/>
  </w:num>
  <w:num w:numId="15" w16cid:durableId="140268876">
    <w:abstractNumId w:val="15"/>
  </w:num>
  <w:num w:numId="16" w16cid:durableId="785926230">
    <w:abstractNumId w:val="2"/>
  </w:num>
  <w:num w:numId="17" w16cid:durableId="132337125">
    <w:abstractNumId w:val="5"/>
  </w:num>
  <w:num w:numId="18" w16cid:durableId="1168786871">
    <w:abstractNumId w:val="12"/>
  </w:num>
  <w:num w:numId="19" w16cid:durableId="1385174953">
    <w:abstractNumId w:val="12"/>
  </w:num>
  <w:num w:numId="20" w16cid:durableId="2441035">
    <w:abstractNumId w:val="9"/>
  </w:num>
  <w:num w:numId="21" w16cid:durableId="1659647307">
    <w:abstractNumId w:val="8"/>
  </w:num>
  <w:num w:numId="22" w16cid:durableId="9155511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82"/>
    <w:rsid w:val="000444EF"/>
    <w:rsid w:val="0004485A"/>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E1A"/>
    <w:rsid w:val="000662A7"/>
    <w:rsid w:val="000663BC"/>
    <w:rsid w:val="000663CB"/>
    <w:rsid w:val="000671E2"/>
    <w:rsid w:val="00070A3F"/>
    <w:rsid w:val="00071B19"/>
    <w:rsid w:val="00072469"/>
    <w:rsid w:val="00073487"/>
    <w:rsid w:val="000736AE"/>
    <w:rsid w:val="0007400B"/>
    <w:rsid w:val="0007611C"/>
    <w:rsid w:val="00076F4B"/>
    <w:rsid w:val="0007758A"/>
    <w:rsid w:val="00077941"/>
    <w:rsid w:val="00077D24"/>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5C08"/>
    <w:rsid w:val="000860FE"/>
    <w:rsid w:val="00086162"/>
    <w:rsid w:val="00086493"/>
    <w:rsid w:val="000866F2"/>
    <w:rsid w:val="00086BCC"/>
    <w:rsid w:val="00086D8A"/>
    <w:rsid w:val="0008725D"/>
    <w:rsid w:val="00087B9C"/>
    <w:rsid w:val="00087E9B"/>
    <w:rsid w:val="00087F2A"/>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6E8A"/>
    <w:rsid w:val="00097795"/>
    <w:rsid w:val="000A12C4"/>
    <w:rsid w:val="000A1553"/>
    <w:rsid w:val="000A1621"/>
    <w:rsid w:val="000A1819"/>
    <w:rsid w:val="000A18FF"/>
    <w:rsid w:val="000A1B7B"/>
    <w:rsid w:val="000A2D46"/>
    <w:rsid w:val="000A3E44"/>
    <w:rsid w:val="000A4750"/>
    <w:rsid w:val="000A4F84"/>
    <w:rsid w:val="000A5489"/>
    <w:rsid w:val="000A56F2"/>
    <w:rsid w:val="000A5763"/>
    <w:rsid w:val="000A5FB1"/>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E92"/>
    <w:rsid w:val="000E1FB2"/>
    <w:rsid w:val="000E2888"/>
    <w:rsid w:val="000E2A18"/>
    <w:rsid w:val="000E36E3"/>
    <w:rsid w:val="000E3A9F"/>
    <w:rsid w:val="000E4030"/>
    <w:rsid w:val="000E4829"/>
    <w:rsid w:val="000E4938"/>
    <w:rsid w:val="000E4BDC"/>
    <w:rsid w:val="000E5C7B"/>
    <w:rsid w:val="000E5F03"/>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3C3"/>
    <w:rsid w:val="00107EA2"/>
    <w:rsid w:val="0011007A"/>
    <w:rsid w:val="0011098E"/>
    <w:rsid w:val="00110F4C"/>
    <w:rsid w:val="0011134E"/>
    <w:rsid w:val="00111952"/>
    <w:rsid w:val="00112602"/>
    <w:rsid w:val="00112971"/>
    <w:rsid w:val="001132A8"/>
    <w:rsid w:val="00113997"/>
    <w:rsid w:val="00113CF4"/>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7318"/>
    <w:rsid w:val="00157A56"/>
    <w:rsid w:val="00157A6F"/>
    <w:rsid w:val="00160816"/>
    <w:rsid w:val="00160FBA"/>
    <w:rsid w:val="00161E57"/>
    <w:rsid w:val="00161FC0"/>
    <w:rsid w:val="00162435"/>
    <w:rsid w:val="0016248C"/>
    <w:rsid w:val="001627EA"/>
    <w:rsid w:val="00162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FA3"/>
    <w:rsid w:val="00176CD5"/>
    <w:rsid w:val="001776D5"/>
    <w:rsid w:val="00177795"/>
    <w:rsid w:val="00177C5A"/>
    <w:rsid w:val="0018044B"/>
    <w:rsid w:val="0018138E"/>
    <w:rsid w:val="0018143F"/>
    <w:rsid w:val="0018163F"/>
    <w:rsid w:val="001816D0"/>
    <w:rsid w:val="00181771"/>
    <w:rsid w:val="00181F23"/>
    <w:rsid w:val="00182C55"/>
    <w:rsid w:val="00182EB9"/>
    <w:rsid w:val="00184608"/>
    <w:rsid w:val="00184CCF"/>
    <w:rsid w:val="00184E79"/>
    <w:rsid w:val="00185446"/>
    <w:rsid w:val="00185CF8"/>
    <w:rsid w:val="00185DDE"/>
    <w:rsid w:val="001865F7"/>
    <w:rsid w:val="00187F26"/>
    <w:rsid w:val="00190AC1"/>
    <w:rsid w:val="00191187"/>
    <w:rsid w:val="00191589"/>
    <w:rsid w:val="00191A7D"/>
    <w:rsid w:val="00191ECF"/>
    <w:rsid w:val="00191FE9"/>
    <w:rsid w:val="001922D5"/>
    <w:rsid w:val="0019268D"/>
    <w:rsid w:val="00192F0B"/>
    <w:rsid w:val="0019323F"/>
    <w:rsid w:val="00193286"/>
    <w:rsid w:val="0019341A"/>
    <w:rsid w:val="001946F5"/>
    <w:rsid w:val="00194ED8"/>
    <w:rsid w:val="00194F68"/>
    <w:rsid w:val="0019502E"/>
    <w:rsid w:val="00195064"/>
    <w:rsid w:val="001953D5"/>
    <w:rsid w:val="00195CDB"/>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10ED"/>
    <w:rsid w:val="001B1408"/>
    <w:rsid w:val="001B234C"/>
    <w:rsid w:val="001B2C1C"/>
    <w:rsid w:val="001B481C"/>
    <w:rsid w:val="001B4F23"/>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3830"/>
    <w:rsid w:val="001C3D2A"/>
    <w:rsid w:val="001C4382"/>
    <w:rsid w:val="001C45C3"/>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2C31"/>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5322"/>
    <w:rsid w:val="0028566E"/>
    <w:rsid w:val="00285774"/>
    <w:rsid w:val="00285991"/>
    <w:rsid w:val="00285DF6"/>
    <w:rsid w:val="0028680D"/>
    <w:rsid w:val="00286ACD"/>
    <w:rsid w:val="00286BBA"/>
    <w:rsid w:val="00286E6D"/>
    <w:rsid w:val="002872A0"/>
    <w:rsid w:val="00287838"/>
    <w:rsid w:val="00287FD6"/>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507A"/>
    <w:rsid w:val="002A5300"/>
    <w:rsid w:val="002A6416"/>
    <w:rsid w:val="002A757B"/>
    <w:rsid w:val="002A78C0"/>
    <w:rsid w:val="002B18DD"/>
    <w:rsid w:val="002B1A40"/>
    <w:rsid w:val="002B24D6"/>
    <w:rsid w:val="002B25C9"/>
    <w:rsid w:val="002B2E95"/>
    <w:rsid w:val="002B310D"/>
    <w:rsid w:val="002B32A1"/>
    <w:rsid w:val="002B35D8"/>
    <w:rsid w:val="002B421B"/>
    <w:rsid w:val="002B4450"/>
    <w:rsid w:val="002B517D"/>
    <w:rsid w:val="002B5ABB"/>
    <w:rsid w:val="002B7EB2"/>
    <w:rsid w:val="002C112F"/>
    <w:rsid w:val="002C1E0A"/>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7652"/>
    <w:rsid w:val="002C793C"/>
    <w:rsid w:val="002C7D02"/>
    <w:rsid w:val="002D071A"/>
    <w:rsid w:val="002D0C00"/>
    <w:rsid w:val="002D20CF"/>
    <w:rsid w:val="002D2430"/>
    <w:rsid w:val="002D3018"/>
    <w:rsid w:val="002D34B2"/>
    <w:rsid w:val="002D3D5B"/>
    <w:rsid w:val="002D498F"/>
    <w:rsid w:val="002D4E8F"/>
    <w:rsid w:val="002D5177"/>
    <w:rsid w:val="002D52D5"/>
    <w:rsid w:val="002D53E3"/>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744"/>
    <w:rsid w:val="00300042"/>
    <w:rsid w:val="0030041C"/>
    <w:rsid w:val="00300D28"/>
    <w:rsid w:val="00301748"/>
    <w:rsid w:val="00301CE6"/>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C82"/>
    <w:rsid w:val="00314EE6"/>
    <w:rsid w:val="003155EF"/>
    <w:rsid w:val="00315EA2"/>
    <w:rsid w:val="00316E66"/>
    <w:rsid w:val="0031746C"/>
    <w:rsid w:val="00317593"/>
    <w:rsid w:val="00317640"/>
    <w:rsid w:val="003176E3"/>
    <w:rsid w:val="00317A53"/>
    <w:rsid w:val="00317EAE"/>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76D"/>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DDD"/>
    <w:rsid w:val="00352795"/>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739D"/>
    <w:rsid w:val="00377CE1"/>
    <w:rsid w:val="00377E1B"/>
    <w:rsid w:val="00377F60"/>
    <w:rsid w:val="003809A2"/>
    <w:rsid w:val="00380F4D"/>
    <w:rsid w:val="00381674"/>
    <w:rsid w:val="00381D19"/>
    <w:rsid w:val="00382775"/>
    <w:rsid w:val="0038369D"/>
    <w:rsid w:val="00383AFD"/>
    <w:rsid w:val="003841F7"/>
    <w:rsid w:val="0038498D"/>
    <w:rsid w:val="00384BFC"/>
    <w:rsid w:val="00384E2E"/>
    <w:rsid w:val="00384ED6"/>
    <w:rsid w:val="00385BF0"/>
    <w:rsid w:val="00386A44"/>
    <w:rsid w:val="00386A69"/>
    <w:rsid w:val="00386FFA"/>
    <w:rsid w:val="0038750A"/>
    <w:rsid w:val="0038778E"/>
    <w:rsid w:val="00387800"/>
    <w:rsid w:val="003901CC"/>
    <w:rsid w:val="00390888"/>
    <w:rsid w:val="00390A2A"/>
    <w:rsid w:val="00390FA7"/>
    <w:rsid w:val="00391689"/>
    <w:rsid w:val="00393338"/>
    <w:rsid w:val="003939FF"/>
    <w:rsid w:val="00393C77"/>
    <w:rsid w:val="00394B9C"/>
    <w:rsid w:val="003951F8"/>
    <w:rsid w:val="00395FD9"/>
    <w:rsid w:val="003960D4"/>
    <w:rsid w:val="003965BA"/>
    <w:rsid w:val="00396793"/>
    <w:rsid w:val="00396CFD"/>
    <w:rsid w:val="0039734F"/>
    <w:rsid w:val="00397586"/>
    <w:rsid w:val="003977A8"/>
    <w:rsid w:val="00397A98"/>
    <w:rsid w:val="003A009F"/>
    <w:rsid w:val="003A1236"/>
    <w:rsid w:val="003A1872"/>
    <w:rsid w:val="003A1A7C"/>
    <w:rsid w:val="003A2223"/>
    <w:rsid w:val="003A2A0F"/>
    <w:rsid w:val="003A3096"/>
    <w:rsid w:val="003A4103"/>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C45"/>
    <w:rsid w:val="003D3D83"/>
    <w:rsid w:val="003D4637"/>
    <w:rsid w:val="003D49AD"/>
    <w:rsid w:val="003D4DCC"/>
    <w:rsid w:val="003D53F4"/>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E00"/>
    <w:rsid w:val="003E72D9"/>
    <w:rsid w:val="003E74E3"/>
    <w:rsid w:val="003F02BE"/>
    <w:rsid w:val="003F05C7"/>
    <w:rsid w:val="003F0A61"/>
    <w:rsid w:val="003F1E64"/>
    <w:rsid w:val="003F26D7"/>
    <w:rsid w:val="003F2741"/>
    <w:rsid w:val="003F2CD4"/>
    <w:rsid w:val="003F2E9F"/>
    <w:rsid w:val="003F3EDD"/>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AB8"/>
    <w:rsid w:val="004242F4"/>
    <w:rsid w:val="00424766"/>
    <w:rsid w:val="00424EDC"/>
    <w:rsid w:val="004252E1"/>
    <w:rsid w:val="004256C9"/>
    <w:rsid w:val="00426396"/>
    <w:rsid w:val="004268A5"/>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42FF"/>
    <w:rsid w:val="004543B3"/>
    <w:rsid w:val="004546F9"/>
    <w:rsid w:val="00454B40"/>
    <w:rsid w:val="00456E87"/>
    <w:rsid w:val="00457565"/>
    <w:rsid w:val="00457B71"/>
    <w:rsid w:val="00460073"/>
    <w:rsid w:val="0046016C"/>
    <w:rsid w:val="004601CF"/>
    <w:rsid w:val="0046032B"/>
    <w:rsid w:val="0046043B"/>
    <w:rsid w:val="00460A1B"/>
    <w:rsid w:val="00460B18"/>
    <w:rsid w:val="00461031"/>
    <w:rsid w:val="004616EB"/>
    <w:rsid w:val="004625FA"/>
    <w:rsid w:val="004631DF"/>
    <w:rsid w:val="00463254"/>
    <w:rsid w:val="004633C9"/>
    <w:rsid w:val="004633F0"/>
    <w:rsid w:val="0046470E"/>
    <w:rsid w:val="004659E5"/>
    <w:rsid w:val="00465AFE"/>
    <w:rsid w:val="004664E3"/>
    <w:rsid w:val="004669E2"/>
    <w:rsid w:val="00466B7C"/>
    <w:rsid w:val="00466CAD"/>
    <w:rsid w:val="00467102"/>
    <w:rsid w:val="00467295"/>
    <w:rsid w:val="004673E2"/>
    <w:rsid w:val="004674D1"/>
    <w:rsid w:val="0047046E"/>
    <w:rsid w:val="00470C31"/>
    <w:rsid w:val="00471E5F"/>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3E8"/>
    <w:rsid w:val="00480904"/>
    <w:rsid w:val="00480B6F"/>
    <w:rsid w:val="0048130B"/>
    <w:rsid w:val="004815CE"/>
    <w:rsid w:val="004825DF"/>
    <w:rsid w:val="00483459"/>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B94"/>
    <w:rsid w:val="004A2D75"/>
    <w:rsid w:val="004A2D82"/>
    <w:rsid w:val="004A3739"/>
    <w:rsid w:val="004A3867"/>
    <w:rsid w:val="004A3C0B"/>
    <w:rsid w:val="004A4278"/>
    <w:rsid w:val="004A453C"/>
    <w:rsid w:val="004A4631"/>
    <w:rsid w:val="004A4930"/>
    <w:rsid w:val="004A4D4C"/>
    <w:rsid w:val="004A535C"/>
    <w:rsid w:val="004A58B8"/>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D0217"/>
    <w:rsid w:val="004D0502"/>
    <w:rsid w:val="004D0984"/>
    <w:rsid w:val="004D2B99"/>
    <w:rsid w:val="004D327C"/>
    <w:rsid w:val="004D3495"/>
    <w:rsid w:val="004D36B1"/>
    <w:rsid w:val="004D44A8"/>
    <w:rsid w:val="004D5240"/>
    <w:rsid w:val="004D5A69"/>
    <w:rsid w:val="004D5CDC"/>
    <w:rsid w:val="004D62A1"/>
    <w:rsid w:val="004D6F90"/>
    <w:rsid w:val="004D765D"/>
    <w:rsid w:val="004D7693"/>
    <w:rsid w:val="004D7BB2"/>
    <w:rsid w:val="004D7EBD"/>
    <w:rsid w:val="004E03DC"/>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C46"/>
    <w:rsid w:val="004F4DA3"/>
    <w:rsid w:val="004F5383"/>
    <w:rsid w:val="004F58CB"/>
    <w:rsid w:val="004F5E10"/>
    <w:rsid w:val="004F6B58"/>
    <w:rsid w:val="004F6CB0"/>
    <w:rsid w:val="004F72B3"/>
    <w:rsid w:val="004F73D0"/>
    <w:rsid w:val="004F7757"/>
    <w:rsid w:val="00500746"/>
    <w:rsid w:val="00501B30"/>
    <w:rsid w:val="00502E8C"/>
    <w:rsid w:val="00502EB9"/>
    <w:rsid w:val="00503219"/>
    <w:rsid w:val="00503B81"/>
    <w:rsid w:val="00505EB5"/>
    <w:rsid w:val="00506557"/>
    <w:rsid w:val="0050677A"/>
    <w:rsid w:val="00506787"/>
    <w:rsid w:val="005074F8"/>
    <w:rsid w:val="0050774B"/>
    <w:rsid w:val="00507BFF"/>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301CB"/>
    <w:rsid w:val="00530AA3"/>
    <w:rsid w:val="00531248"/>
    <w:rsid w:val="0053178F"/>
    <w:rsid w:val="00531B46"/>
    <w:rsid w:val="00531F2C"/>
    <w:rsid w:val="00532CB7"/>
    <w:rsid w:val="00532FDD"/>
    <w:rsid w:val="005337AA"/>
    <w:rsid w:val="005339A2"/>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394"/>
    <w:rsid w:val="005508D7"/>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F2B"/>
    <w:rsid w:val="00563F83"/>
    <w:rsid w:val="005641A3"/>
    <w:rsid w:val="00564384"/>
    <w:rsid w:val="005654C4"/>
    <w:rsid w:val="005655C1"/>
    <w:rsid w:val="00565DF7"/>
    <w:rsid w:val="0056610D"/>
    <w:rsid w:val="00566AE5"/>
    <w:rsid w:val="005673D9"/>
    <w:rsid w:val="00570386"/>
    <w:rsid w:val="0057096D"/>
    <w:rsid w:val="00570AC8"/>
    <w:rsid w:val="00571127"/>
    <w:rsid w:val="005721D0"/>
    <w:rsid w:val="00572505"/>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DDE"/>
    <w:rsid w:val="005935A4"/>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53C4"/>
    <w:rsid w:val="005C569A"/>
    <w:rsid w:val="005C5FB8"/>
    <w:rsid w:val="005C68CD"/>
    <w:rsid w:val="005C68D4"/>
    <w:rsid w:val="005C74FB"/>
    <w:rsid w:val="005C7CAC"/>
    <w:rsid w:val="005D040C"/>
    <w:rsid w:val="005D0939"/>
    <w:rsid w:val="005D1151"/>
    <w:rsid w:val="005D1468"/>
    <w:rsid w:val="005D1602"/>
    <w:rsid w:val="005D1658"/>
    <w:rsid w:val="005D1796"/>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6DB1"/>
    <w:rsid w:val="005E70C1"/>
    <w:rsid w:val="005E78EA"/>
    <w:rsid w:val="005F0FD7"/>
    <w:rsid w:val="005F1080"/>
    <w:rsid w:val="005F1584"/>
    <w:rsid w:val="005F2909"/>
    <w:rsid w:val="005F2CB1"/>
    <w:rsid w:val="005F3025"/>
    <w:rsid w:val="005F3264"/>
    <w:rsid w:val="005F38EB"/>
    <w:rsid w:val="005F38FF"/>
    <w:rsid w:val="005F3954"/>
    <w:rsid w:val="005F3E12"/>
    <w:rsid w:val="005F44CB"/>
    <w:rsid w:val="005F5B9C"/>
    <w:rsid w:val="005F5D09"/>
    <w:rsid w:val="005F5EDD"/>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93"/>
    <w:rsid w:val="00602FD6"/>
    <w:rsid w:val="006032F1"/>
    <w:rsid w:val="00603F80"/>
    <w:rsid w:val="00604503"/>
    <w:rsid w:val="00604581"/>
    <w:rsid w:val="00604F14"/>
    <w:rsid w:val="00605759"/>
    <w:rsid w:val="006064E8"/>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354"/>
    <w:rsid w:val="00614C07"/>
    <w:rsid w:val="00614D1D"/>
    <w:rsid w:val="00615114"/>
    <w:rsid w:val="006154A1"/>
    <w:rsid w:val="00615550"/>
    <w:rsid w:val="00615E4A"/>
    <w:rsid w:val="00615E72"/>
    <w:rsid w:val="00616333"/>
    <w:rsid w:val="00616772"/>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7048"/>
    <w:rsid w:val="006873D2"/>
    <w:rsid w:val="00687DB2"/>
    <w:rsid w:val="00687F15"/>
    <w:rsid w:val="00687FFC"/>
    <w:rsid w:val="0069113C"/>
    <w:rsid w:val="006925A7"/>
    <w:rsid w:val="00693CCB"/>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89F"/>
    <w:rsid w:val="006E7906"/>
    <w:rsid w:val="006E7D3B"/>
    <w:rsid w:val="006F0269"/>
    <w:rsid w:val="006F0626"/>
    <w:rsid w:val="006F13A2"/>
    <w:rsid w:val="006F15D5"/>
    <w:rsid w:val="006F180D"/>
    <w:rsid w:val="006F1B70"/>
    <w:rsid w:val="006F1C4B"/>
    <w:rsid w:val="006F2D2C"/>
    <w:rsid w:val="006F341D"/>
    <w:rsid w:val="006F3AD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537"/>
    <w:rsid w:val="00704D70"/>
    <w:rsid w:val="00704EDB"/>
    <w:rsid w:val="007052BE"/>
    <w:rsid w:val="007057DD"/>
    <w:rsid w:val="00705D21"/>
    <w:rsid w:val="00706101"/>
    <w:rsid w:val="00707072"/>
    <w:rsid w:val="007071CE"/>
    <w:rsid w:val="00707D61"/>
    <w:rsid w:val="007100B5"/>
    <w:rsid w:val="00710A1A"/>
    <w:rsid w:val="007112C6"/>
    <w:rsid w:val="00711572"/>
    <w:rsid w:val="007116EB"/>
    <w:rsid w:val="007121F6"/>
    <w:rsid w:val="00712287"/>
    <w:rsid w:val="00712772"/>
    <w:rsid w:val="00713058"/>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BEB"/>
    <w:rsid w:val="00722B6F"/>
    <w:rsid w:val="00723940"/>
    <w:rsid w:val="007242AB"/>
    <w:rsid w:val="00724729"/>
    <w:rsid w:val="00724AEC"/>
    <w:rsid w:val="0072504C"/>
    <w:rsid w:val="007252F0"/>
    <w:rsid w:val="007255F7"/>
    <w:rsid w:val="0072598D"/>
    <w:rsid w:val="00725ABB"/>
    <w:rsid w:val="0072667B"/>
    <w:rsid w:val="00726EA6"/>
    <w:rsid w:val="00727208"/>
    <w:rsid w:val="0072763C"/>
    <w:rsid w:val="00727680"/>
    <w:rsid w:val="007278D4"/>
    <w:rsid w:val="00727FF4"/>
    <w:rsid w:val="0073103F"/>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7C2C"/>
    <w:rsid w:val="007409D3"/>
    <w:rsid w:val="00740E58"/>
    <w:rsid w:val="00741DF3"/>
    <w:rsid w:val="007423AE"/>
    <w:rsid w:val="00742516"/>
    <w:rsid w:val="007441A2"/>
    <w:rsid w:val="007445A0"/>
    <w:rsid w:val="0074524B"/>
    <w:rsid w:val="0074612B"/>
    <w:rsid w:val="007461F1"/>
    <w:rsid w:val="00746793"/>
    <w:rsid w:val="0074688F"/>
    <w:rsid w:val="00747085"/>
    <w:rsid w:val="00747813"/>
    <w:rsid w:val="00747D8B"/>
    <w:rsid w:val="00750343"/>
    <w:rsid w:val="00750360"/>
    <w:rsid w:val="00750836"/>
    <w:rsid w:val="00750B82"/>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51BE"/>
    <w:rsid w:val="00765281"/>
    <w:rsid w:val="00765345"/>
    <w:rsid w:val="00765ADE"/>
    <w:rsid w:val="00766080"/>
    <w:rsid w:val="0076649B"/>
    <w:rsid w:val="00766513"/>
    <w:rsid w:val="00766708"/>
    <w:rsid w:val="00766BAD"/>
    <w:rsid w:val="00766C3F"/>
    <w:rsid w:val="0076755C"/>
    <w:rsid w:val="0077011B"/>
    <w:rsid w:val="00770FC5"/>
    <w:rsid w:val="007717D8"/>
    <w:rsid w:val="00771B5B"/>
    <w:rsid w:val="00772622"/>
    <w:rsid w:val="0077283F"/>
    <w:rsid w:val="00772C87"/>
    <w:rsid w:val="007730BD"/>
    <w:rsid w:val="0077392F"/>
    <w:rsid w:val="007745F0"/>
    <w:rsid w:val="00775413"/>
    <w:rsid w:val="007755F2"/>
    <w:rsid w:val="007759A7"/>
    <w:rsid w:val="00775B19"/>
    <w:rsid w:val="00776784"/>
    <w:rsid w:val="00776971"/>
    <w:rsid w:val="007779CF"/>
    <w:rsid w:val="007779EC"/>
    <w:rsid w:val="0078177E"/>
    <w:rsid w:val="00781F3F"/>
    <w:rsid w:val="007822A3"/>
    <w:rsid w:val="00782D2C"/>
    <w:rsid w:val="0078304C"/>
    <w:rsid w:val="00783673"/>
    <w:rsid w:val="007840A6"/>
    <w:rsid w:val="0078466D"/>
    <w:rsid w:val="00784727"/>
    <w:rsid w:val="00785243"/>
    <w:rsid w:val="007853E1"/>
    <w:rsid w:val="00785490"/>
    <w:rsid w:val="00785750"/>
    <w:rsid w:val="007858ED"/>
    <w:rsid w:val="00785AB3"/>
    <w:rsid w:val="00785B5F"/>
    <w:rsid w:val="0078648D"/>
    <w:rsid w:val="007865DC"/>
    <w:rsid w:val="007877E8"/>
    <w:rsid w:val="00790047"/>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37F"/>
    <w:rsid w:val="00795BAB"/>
    <w:rsid w:val="00795C92"/>
    <w:rsid w:val="00795E63"/>
    <w:rsid w:val="0079608F"/>
    <w:rsid w:val="00796231"/>
    <w:rsid w:val="00796285"/>
    <w:rsid w:val="00797801"/>
    <w:rsid w:val="00797D3D"/>
    <w:rsid w:val="007A08E5"/>
    <w:rsid w:val="007A0B5C"/>
    <w:rsid w:val="007A0FA5"/>
    <w:rsid w:val="007A1045"/>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D1A"/>
    <w:rsid w:val="007B31DF"/>
    <w:rsid w:val="007B3D2D"/>
    <w:rsid w:val="007B3D74"/>
    <w:rsid w:val="007B46AB"/>
    <w:rsid w:val="007B50AE"/>
    <w:rsid w:val="007B51DF"/>
    <w:rsid w:val="007B53E1"/>
    <w:rsid w:val="007B60EF"/>
    <w:rsid w:val="007B6980"/>
    <w:rsid w:val="007B7CBD"/>
    <w:rsid w:val="007B7F03"/>
    <w:rsid w:val="007C012A"/>
    <w:rsid w:val="007C017F"/>
    <w:rsid w:val="007C03A3"/>
    <w:rsid w:val="007C05DD"/>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4E5"/>
    <w:rsid w:val="007D1A61"/>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ABB"/>
    <w:rsid w:val="007F2656"/>
    <w:rsid w:val="007F28BB"/>
    <w:rsid w:val="007F2E75"/>
    <w:rsid w:val="007F3E3C"/>
    <w:rsid w:val="007F4F70"/>
    <w:rsid w:val="007F5F27"/>
    <w:rsid w:val="007F5F4E"/>
    <w:rsid w:val="008019F1"/>
    <w:rsid w:val="00802A25"/>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C42"/>
    <w:rsid w:val="00825D25"/>
    <w:rsid w:val="0082691B"/>
    <w:rsid w:val="00827107"/>
    <w:rsid w:val="0082781D"/>
    <w:rsid w:val="00827A37"/>
    <w:rsid w:val="00827D6F"/>
    <w:rsid w:val="00830026"/>
    <w:rsid w:val="00830668"/>
    <w:rsid w:val="00830E5C"/>
    <w:rsid w:val="008314AB"/>
    <w:rsid w:val="00831AC8"/>
    <w:rsid w:val="00831CBA"/>
    <w:rsid w:val="008327F9"/>
    <w:rsid w:val="00832B19"/>
    <w:rsid w:val="00833AFB"/>
    <w:rsid w:val="008342AD"/>
    <w:rsid w:val="008343C0"/>
    <w:rsid w:val="00834A16"/>
    <w:rsid w:val="00834F3F"/>
    <w:rsid w:val="00835F85"/>
    <w:rsid w:val="008376AC"/>
    <w:rsid w:val="00840015"/>
    <w:rsid w:val="0084220C"/>
    <w:rsid w:val="00842571"/>
    <w:rsid w:val="00842673"/>
    <w:rsid w:val="00842AF0"/>
    <w:rsid w:val="00842B04"/>
    <w:rsid w:val="00843B61"/>
    <w:rsid w:val="00843D57"/>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47DE4"/>
    <w:rsid w:val="008513DE"/>
    <w:rsid w:val="00851D43"/>
    <w:rsid w:val="00852073"/>
    <w:rsid w:val="0085353A"/>
    <w:rsid w:val="008539E4"/>
    <w:rsid w:val="00853AD0"/>
    <w:rsid w:val="00853EFC"/>
    <w:rsid w:val="0085417D"/>
    <w:rsid w:val="00854F97"/>
    <w:rsid w:val="00856850"/>
    <w:rsid w:val="00856911"/>
    <w:rsid w:val="00857DF0"/>
    <w:rsid w:val="0086037A"/>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EB1"/>
    <w:rsid w:val="008706D4"/>
    <w:rsid w:val="00870C99"/>
    <w:rsid w:val="00870F8A"/>
    <w:rsid w:val="008710A5"/>
    <w:rsid w:val="008719A4"/>
    <w:rsid w:val="00871D23"/>
    <w:rsid w:val="00872DEB"/>
    <w:rsid w:val="00874312"/>
    <w:rsid w:val="0087437C"/>
    <w:rsid w:val="00875053"/>
    <w:rsid w:val="00875490"/>
    <w:rsid w:val="00875CD7"/>
    <w:rsid w:val="00875F1F"/>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EE4"/>
    <w:rsid w:val="00884A77"/>
    <w:rsid w:val="00884C2E"/>
    <w:rsid w:val="00885C73"/>
    <w:rsid w:val="00885F4F"/>
    <w:rsid w:val="008869CA"/>
    <w:rsid w:val="00886CCF"/>
    <w:rsid w:val="0088727B"/>
    <w:rsid w:val="00890B94"/>
    <w:rsid w:val="00890CE3"/>
    <w:rsid w:val="00890D4B"/>
    <w:rsid w:val="00891080"/>
    <w:rsid w:val="00891359"/>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6AE8"/>
    <w:rsid w:val="008C6CAC"/>
    <w:rsid w:val="008C7307"/>
    <w:rsid w:val="008C7573"/>
    <w:rsid w:val="008C78D5"/>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D1A"/>
    <w:rsid w:val="008D7DD6"/>
    <w:rsid w:val="008E065E"/>
    <w:rsid w:val="008E0927"/>
    <w:rsid w:val="008E0DBE"/>
    <w:rsid w:val="008E11B9"/>
    <w:rsid w:val="008E1253"/>
    <w:rsid w:val="008E17F3"/>
    <w:rsid w:val="008E1909"/>
    <w:rsid w:val="008E2BC2"/>
    <w:rsid w:val="008E358F"/>
    <w:rsid w:val="008E3978"/>
    <w:rsid w:val="008E3F1A"/>
    <w:rsid w:val="008E4517"/>
    <w:rsid w:val="008E4526"/>
    <w:rsid w:val="008E4A09"/>
    <w:rsid w:val="008E55EC"/>
    <w:rsid w:val="008E56E8"/>
    <w:rsid w:val="008E5BAB"/>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900AE5"/>
    <w:rsid w:val="00900E9D"/>
    <w:rsid w:val="0090114E"/>
    <w:rsid w:val="00901BB8"/>
    <w:rsid w:val="00902350"/>
    <w:rsid w:val="00902DBF"/>
    <w:rsid w:val="0090336B"/>
    <w:rsid w:val="00903AA0"/>
    <w:rsid w:val="00903DEC"/>
    <w:rsid w:val="00904193"/>
    <w:rsid w:val="00904437"/>
    <w:rsid w:val="00904A3D"/>
    <w:rsid w:val="00904F44"/>
    <w:rsid w:val="009053AA"/>
    <w:rsid w:val="00905B30"/>
    <w:rsid w:val="00906397"/>
    <w:rsid w:val="00906762"/>
    <w:rsid w:val="00906939"/>
    <w:rsid w:val="009079AC"/>
    <w:rsid w:val="0091009D"/>
    <w:rsid w:val="009109B5"/>
    <w:rsid w:val="00910B7D"/>
    <w:rsid w:val="00911DFB"/>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BE4"/>
    <w:rsid w:val="00920BF2"/>
    <w:rsid w:val="00920D6F"/>
    <w:rsid w:val="009216BD"/>
    <w:rsid w:val="00922010"/>
    <w:rsid w:val="00922EA6"/>
    <w:rsid w:val="00922EA8"/>
    <w:rsid w:val="00923EE1"/>
    <w:rsid w:val="00924208"/>
    <w:rsid w:val="009243EF"/>
    <w:rsid w:val="00924B57"/>
    <w:rsid w:val="00924CA1"/>
    <w:rsid w:val="0092537F"/>
    <w:rsid w:val="009256CA"/>
    <w:rsid w:val="00925B07"/>
    <w:rsid w:val="009261ED"/>
    <w:rsid w:val="009262F0"/>
    <w:rsid w:val="00926E1A"/>
    <w:rsid w:val="009271F5"/>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C0E"/>
    <w:rsid w:val="0097603D"/>
    <w:rsid w:val="00976949"/>
    <w:rsid w:val="009770B2"/>
    <w:rsid w:val="009776E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ECF"/>
    <w:rsid w:val="00987891"/>
    <w:rsid w:val="009905A4"/>
    <w:rsid w:val="00990630"/>
    <w:rsid w:val="00991438"/>
    <w:rsid w:val="00991660"/>
    <w:rsid w:val="00991761"/>
    <w:rsid w:val="00992355"/>
    <w:rsid w:val="009923E8"/>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A0A6C"/>
    <w:rsid w:val="009A0AAA"/>
    <w:rsid w:val="009A0C85"/>
    <w:rsid w:val="009A0FBA"/>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041B"/>
    <w:rsid w:val="009C0906"/>
    <w:rsid w:val="009C1702"/>
    <w:rsid w:val="009C1F87"/>
    <w:rsid w:val="009C2315"/>
    <w:rsid w:val="009C2D8F"/>
    <w:rsid w:val="009C2FD6"/>
    <w:rsid w:val="009C32F6"/>
    <w:rsid w:val="009C37A7"/>
    <w:rsid w:val="009C3824"/>
    <w:rsid w:val="009C403E"/>
    <w:rsid w:val="009C447F"/>
    <w:rsid w:val="009C48EB"/>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0717"/>
    <w:rsid w:val="00A013BE"/>
    <w:rsid w:val="00A01828"/>
    <w:rsid w:val="00A01D01"/>
    <w:rsid w:val="00A02A06"/>
    <w:rsid w:val="00A03CAD"/>
    <w:rsid w:val="00A048A8"/>
    <w:rsid w:val="00A04F49"/>
    <w:rsid w:val="00A0528D"/>
    <w:rsid w:val="00A05F9E"/>
    <w:rsid w:val="00A0647F"/>
    <w:rsid w:val="00A06AB7"/>
    <w:rsid w:val="00A06F5C"/>
    <w:rsid w:val="00A07F6B"/>
    <w:rsid w:val="00A108F2"/>
    <w:rsid w:val="00A11351"/>
    <w:rsid w:val="00A118CC"/>
    <w:rsid w:val="00A11B6D"/>
    <w:rsid w:val="00A11F58"/>
    <w:rsid w:val="00A12754"/>
    <w:rsid w:val="00A1305A"/>
    <w:rsid w:val="00A13289"/>
    <w:rsid w:val="00A13BAC"/>
    <w:rsid w:val="00A13E54"/>
    <w:rsid w:val="00A13E76"/>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76BA"/>
    <w:rsid w:val="00A27785"/>
    <w:rsid w:val="00A27BEC"/>
    <w:rsid w:val="00A30187"/>
    <w:rsid w:val="00A312F5"/>
    <w:rsid w:val="00A31702"/>
    <w:rsid w:val="00A31D75"/>
    <w:rsid w:val="00A31E26"/>
    <w:rsid w:val="00A32B67"/>
    <w:rsid w:val="00A334D4"/>
    <w:rsid w:val="00A33709"/>
    <w:rsid w:val="00A33BD8"/>
    <w:rsid w:val="00A33C8D"/>
    <w:rsid w:val="00A33EAD"/>
    <w:rsid w:val="00A3448A"/>
    <w:rsid w:val="00A348B9"/>
    <w:rsid w:val="00A355EC"/>
    <w:rsid w:val="00A36297"/>
    <w:rsid w:val="00A364F9"/>
    <w:rsid w:val="00A36FBC"/>
    <w:rsid w:val="00A400FB"/>
    <w:rsid w:val="00A40205"/>
    <w:rsid w:val="00A405D4"/>
    <w:rsid w:val="00A406FE"/>
    <w:rsid w:val="00A40770"/>
    <w:rsid w:val="00A408C0"/>
    <w:rsid w:val="00A416A9"/>
    <w:rsid w:val="00A41E2B"/>
    <w:rsid w:val="00A4288F"/>
    <w:rsid w:val="00A43252"/>
    <w:rsid w:val="00A434F5"/>
    <w:rsid w:val="00A4469B"/>
    <w:rsid w:val="00A44899"/>
    <w:rsid w:val="00A44F0D"/>
    <w:rsid w:val="00A44FC8"/>
    <w:rsid w:val="00A45B74"/>
    <w:rsid w:val="00A45BA9"/>
    <w:rsid w:val="00A46413"/>
    <w:rsid w:val="00A464F8"/>
    <w:rsid w:val="00A46F59"/>
    <w:rsid w:val="00A47040"/>
    <w:rsid w:val="00A504B2"/>
    <w:rsid w:val="00A50AF0"/>
    <w:rsid w:val="00A50F57"/>
    <w:rsid w:val="00A515F8"/>
    <w:rsid w:val="00A51BD4"/>
    <w:rsid w:val="00A51FE7"/>
    <w:rsid w:val="00A520B7"/>
    <w:rsid w:val="00A521D7"/>
    <w:rsid w:val="00A52E1D"/>
    <w:rsid w:val="00A52F08"/>
    <w:rsid w:val="00A52FDC"/>
    <w:rsid w:val="00A54867"/>
    <w:rsid w:val="00A54D7B"/>
    <w:rsid w:val="00A55134"/>
    <w:rsid w:val="00A553BE"/>
    <w:rsid w:val="00A56170"/>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E6C"/>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54C5"/>
    <w:rsid w:val="00B156C0"/>
    <w:rsid w:val="00B157F9"/>
    <w:rsid w:val="00B15A3D"/>
    <w:rsid w:val="00B15BFD"/>
    <w:rsid w:val="00B16BA1"/>
    <w:rsid w:val="00B16BA5"/>
    <w:rsid w:val="00B16F5E"/>
    <w:rsid w:val="00B17F16"/>
    <w:rsid w:val="00B20256"/>
    <w:rsid w:val="00B202D6"/>
    <w:rsid w:val="00B20D09"/>
    <w:rsid w:val="00B22C47"/>
    <w:rsid w:val="00B23021"/>
    <w:rsid w:val="00B231FE"/>
    <w:rsid w:val="00B235F8"/>
    <w:rsid w:val="00B23648"/>
    <w:rsid w:val="00B236D4"/>
    <w:rsid w:val="00B236FC"/>
    <w:rsid w:val="00B2393E"/>
    <w:rsid w:val="00B23CB7"/>
    <w:rsid w:val="00B24450"/>
    <w:rsid w:val="00B25BFC"/>
    <w:rsid w:val="00B26BD9"/>
    <w:rsid w:val="00B27269"/>
    <w:rsid w:val="00B2763F"/>
    <w:rsid w:val="00B2795C"/>
    <w:rsid w:val="00B27AAC"/>
    <w:rsid w:val="00B27BF1"/>
    <w:rsid w:val="00B27EC4"/>
    <w:rsid w:val="00B30929"/>
    <w:rsid w:val="00B30A0C"/>
    <w:rsid w:val="00B30D6D"/>
    <w:rsid w:val="00B32F96"/>
    <w:rsid w:val="00B34110"/>
    <w:rsid w:val="00B34419"/>
    <w:rsid w:val="00B34631"/>
    <w:rsid w:val="00B34B03"/>
    <w:rsid w:val="00B350DC"/>
    <w:rsid w:val="00B359D1"/>
    <w:rsid w:val="00B366D0"/>
    <w:rsid w:val="00B36DB4"/>
    <w:rsid w:val="00B372AA"/>
    <w:rsid w:val="00B40445"/>
    <w:rsid w:val="00B41888"/>
    <w:rsid w:val="00B4190B"/>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A6C"/>
    <w:rsid w:val="00B823CA"/>
    <w:rsid w:val="00B8260D"/>
    <w:rsid w:val="00B82E89"/>
    <w:rsid w:val="00B84482"/>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1B50"/>
    <w:rsid w:val="00BA1EEC"/>
    <w:rsid w:val="00BA2280"/>
    <w:rsid w:val="00BA22CC"/>
    <w:rsid w:val="00BA2A08"/>
    <w:rsid w:val="00BA2A3F"/>
    <w:rsid w:val="00BA2B48"/>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44F1"/>
    <w:rsid w:val="00BC488B"/>
    <w:rsid w:val="00BC4BEE"/>
    <w:rsid w:val="00BC4D2E"/>
    <w:rsid w:val="00BC4E3B"/>
    <w:rsid w:val="00BC516E"/>
    <w:rsid w:val="00BC5562"/>
    <w:rsid w:val="00BC5F84"/>
    <w:rsid w:val="00BC6A22"/>
    <w:rsid w:val="00BC6CC3"/>
    <w:rsid w:val="00BC6EA7"/>
    <w:rsid w:val="00BC7844"/>
    <w:rsid w:val="00BD015B"/>
    <w:rsid w:val="00BD14A4"/>
    <w:rsid w:val="00BD14E7"/>
    <w:rsid w:val="00BD162F"/>
    <w:rsid w:val="00BD1D43"/>
    <w:rsid w:val="00BD1D92"/>
    <w:rsid w:val="00BD209A"/>
    <w:rsid w:val="00BD2807"/>
    <w:rsid w:val="00BD2F45"/>
    <w:rsid w:val="00BD2FB4"/>
    <w:rsid w:val="00BD48AC"/>
    <w:rsid w:val="00BD526B"/>
    <w:rsid w:val="00BD5B12"/>
    <w:rsid w:val="00BD5F1A"/>
    <w:rsid w:val="00BD633E"/>
    <w:rsid w:val="00BD6869"/>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33F"/>
    <w:rsid w:val="00BE39EA"/>
    <w:rsid w:val="00BE40D7"/>
    <w:rsid w:val="00BE42FE"/>
    <w:rsid w:val="00BE4CA9"/>
    <w:rsid w:val="00BE5338"/>
    <w:rsid w:val="00BE538F"/>
    <w:rsid w:val="00BE575B"/>
    <w:rsid w:val="00BE5F38"/>
    <w:rsid w:val="00BE7406"/>
    <w:rsid w:val="00BE756F"/>
    <w:rsid w:val="00BE7603"/>
    <w:rsid w:val="00BE7FC2"/>
    <w:rsid w:val="00BF0CCA"/>
    <w:rsid w:val="00BF1EE7"/>
    <w:rsid w:val="00BF29C7"/>
    <w:rsid w:val="00BF3279"/>
    <w:rsid w:val="00BF3B64"/>
    <w:rsid w:val="00BF479C"/>
    <w:rsid w:val="00BF5054"/>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C05"/>
    <w:rsid w:val="00C14D4B"/>
    <w:rsid w:val="00C154BB"/>
    <w:rsid w:val="00C15A82"/>
    <w:rsid w:val="00C15B83"/>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443C"/>
    <w:rsid w:val="00C74869"/>
    <w:rsid w:val="00C74FEA"/>
    <w:rsid w:val="00C75014"/>
    <w:rsid w:val="00C75557"/>
    <w:rsid w:val="00C7564D"/>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020"/>
    <w:rsid w:val="00C86127"/>
    <w:rsid w:val="00C8687E"/>
    <w:rsid w:val="00C86AF8"/>
    <w:rsid w:val="00C87922"/>
    <w:rsid w:val="00C9027A"/>
    <w:rsid w:val="00C9068E"/>
    <w:rsid w:val="00C90E89"/>
    <w:rsid w:val="00C917B9"/>
    <w:rsid w:val="00C91B2D"/>
    <w:rsid w:val="00C91EE4"/>
    <w:rsid w:val="00C91FA0"/>
    <w:rsid w:val="00C92111"/>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C5F"/>
    <w:rsid w:val="00CB1F63"/>
    <w:rsid w:val="00CB210C"/>
    <w:rsid w:val="00CB4844"/>
    <w:rsid w:val="00CB48DC"/>
    <w:rsid w:val="00CB507A"/>
    <w:rsid w:val="00CB54AB"/>
    <w:rsid w:val="00CB5B6A"/>
    <w:rsid w:val="00CB5B8D"/>
    <w:rsid w:val="00CB6386"/>
    <w:rsid w:val="00CB6458"/>
    <w:rsid w:val="00CB68C1"/>
    <w:rsid w:val="00CB7170"/>
    <w:rsid w:val="00CB7222"/>
    <w:rsid w:val="00CB7820"/>
    <w:rsid w:val="00CB7B40"/>
    <w:rsid w:val="00CB7DC0"/>
    <w:rsid w:val="00CB7E60"/>
    <w:rsid w:val="00CB7FB6"/>
    <w:rsid w:val="00CC040E"/>
    <w:rsid w:val="00CC0A87"/>
    <w:rsid w:val="00CC111F"/>
    <w:rsid w:val="00CC144D"/>
    <w:rsid w:val="00CC2011"/>
    <w:rsid w:val="00CC26E7"/>
    <w:rsid w:val="00CC2D4E"/>
    <w:rsid w:val="00CC2E35"/>
    <w:rsid w:val="00CC3D0C"/>
    <w:rsid w:val="00CC3EA0"/>
    <w:rsid w:val="00CC4ABF"/>
    <w:rsid w:val="00CC50A2"/>
    <w:rsid w:val="00CC5944"/>
    <w:rsid w:val="00CC5C2E"/>
    <w:rsid w:val="00CC69B9"/>
    <w:rsid w:val="00CC6CA2"/>
    <w:rsid w:val="00CC7562"/>
    <w:rsid w:val="00CC7B45"/>
    <w:rsid w:val="00CD1131"/>
    <w:rsid w:val="00CD1188"/>
    <w:rsid w:val="00CD180B"/>
    <w:rsid w:val="00CD2784"/>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9BC"/>
    <w:rsid w:val="00CF1F83"/>
    <w:rsid w:val="00CF265B"/>
    <w:rsid w:val="00CF2D87"/>
    <w:rsid w:val="00CF3042"/>
    <w:rsid w:val="00CF35BF"/>
    <w:rsid w:val="00CF3B1F"/>
    <w:rsid w:val="00CF3BF6"/>
    <w:rsid w:val="00CF5E79"/>
    <w:rsid w:val="00CF625B"/>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789"/>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60213"/>
    <w:rsid w:val="00D61AF5"/>
    <w:rsid w:val="00D61EE8"/>
    <w:rsid w:val="00D62356"/>
    <w:rsid w:val="00D62E22"/>
    <w:rsid w:val="00D638DF"/>
    <w:rsid w:val="00D639B3"/>
    <w:rsid w:val="00D63D40"/>
    <w:rsid w:val="00D64ADE"/>
    <w:rsid w:val="00D64FF9"/>
    <w:rsid w:val="00D652B5"/>
    <w:rsid w:val="00D65B74"/>
    <w:rsid w:val="00D66155"/>
    <w:rsid w:val="00D66B96"/>
    <w:rsid w:val="00D675E4"/>
    <w:rsid w:val="00D67AD6"/>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7354"/>
    <w:rsid w:val="00D776C6"/>
    <w:rsid w:val="00D7782E"/>
    <w:rsid w:val="00D77AD3"/>
    <w:rsid w:val="00D77B1D"/>
    <w:rsid w:val="00D8021F"/>
    <w:rsid w:val="00D802EE"/>
    <w:rsid w:val="00D80383"/>
    <w:rsid w:val="00D80833"/>
    <w:rsid w:val="00D809DD"/>
    <w:rsid w:val="00D80A3C"/>
    <w:rsid w:val="00D80A45"/>
    <w:rsid w:val="00D80AB4"/>
    <w:rsid w:val="00D80F9F"/>
    <w:rsid w:val="00D820FE"/>
    <w:rsid w:val="00D823C6"/>
    <w:rsid w:val="00D824D4"/>
    <w:rsid w:val="00D82515"/>
    <w:rsid w:val="00D82685"/>
    <w:rsid w:val="00D828EA"/>
    <w:rsid w:val="00D82AC3"/>
    <w:rsid w:val="00D82BFF"/>
    <w:rsid w:val="00D836BF"/>
    <w:rsid w:val="00D83B86"/>
    <w:rsid w:val="00D84A4D"/>
    <w:rsid w:val="00D84E33"/>
    <w:rsid w:val="00D850A9"/>
    <w:rsid w:val="00D8519B"/>
    <w:rsid w:val="00D859B4"/>
    <w:rsid w:val="00D85EF3"/>
    <w:rsid w:val="00D86400"/>
    <w:rsid w:val="00D86586"/>
    <w:rsid w:val="00D86CA3"/>
    <w:rsid w:val="00D86E35"/>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D0270"/>
    <w:rsid w:val="00DD0BF5"/>
    <w:rsid w:val="00DD15A9"/>
    <w:rsid w:val="00DD2283"/>
    <w:rsid w:val="00DD2685"/>
    <w:rsid w:val="00DD2A88"/>
    <w:rsid w:val="00DD2C4E"/>
    <w:rsid w:val="00DD347E"/>
    <w:rsid w:val="00DD3D89"/>
    <w:rsid w:val="00DD4AB0"/>
    <w:rsid w:val="00DD4DA5"/>
    <w:rsid w:val="00DD57FD"/>
    <w:rsid w:val="00DD598A"/>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8D0"/>
    <w:rsid w:val="00DE654F"/>
    <w:rsid w:val="00DE6EA7"/>
    <w:rsid w:val="00DE7208"/>
    <w:rsid w:val="00DE72A7"/>
    <w:rsid w:val="00DE7330"/>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397"/>
    <w:rsid w:val="00DF539A"/>
    <w:rsid w:val="00DF5547"/>
    <w:rsid w:val="00DF5587"/>
    <w:rsid w:val="00DF6727"/>
    <w:rsid w:val="00DF6C89"/>
    <w:rsid w:val="00DF6F71"/>
    <w:rsid w:val="00DF729E"/>
    <w:rsid w:val="00DF735B"/>
    <w:rsid w:val="00E00078"/>
    <w:rsid w:val="00E00A79"/>
    <w:rsid w:val="00E00E97"/>
    <w:rsid w:val="00E01BE9"/>
    <w:rsid w:val="00E0200C"/>
    <w:rsid w:val="00E023AC"/>
    <w:rsid w:val="00E02929"/>
    <w:rsid w:val="00E031CB"/>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41"/>
    <w:rsid w:val="00E16EB6"/>
    <w:rsid w:val="00E17517"/>
    <w:rsid w:val="00E17844"/>
    <w:rsid w:val="00E17972"/>
    <w:rsid w:val="00E17FA2"/>
    <w:rsid w:val="00E20373"/>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5D74"/>
    <w:rsid w:val="00E35F33"/>
    <w:rsid w:val="00E36417"/>
    <w:rsid w:val="00E36F29"/>
    <w:rsid w:val="00E36FF0"/>
    <w:rsid w:val="00E3713E"/>
    <w:rsid w:val="00E3723A"/>
    <w:rsid w:val="00E373F9"/>
    <w:rsid w:val="00E37714"/>
    <w:rsid w:val="00E37860"/>
    <w:rsid w:val="00E40073"/>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954"/>
    <w:rsid w:val="00E60AE3"/>
    <w:rsid w:val="00E617B5"/>
    <w:rsid w:val="00E617DC"/>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E78"/>
    <w:rsid w:val="00E8234C"/>
    <w:rsid w:val="00E839B6"/>
    <w:rsid w:val="00E83AA9"/>
    <w:rsid w:val="00E84506"/>
    <w:rsid w:val="00E847AB"/>
    <w:rsid w:val="00E84930"/>
    <w:rsid w:val="00E8503E"/>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7BF"/>
    <w:rsid w:val="00EC1DE3"/>
    <w:rsid w:val="00EC27C6"/>
    <w:rsid w:val="00EC3202"/>
    <w:rsid w:val="00EC3D67"/>
    <w:rsid w:val="00EC4207"/>
    <w:rsid w:val="00EC469A"/>
    <w:rsid w:val="00EC490A"/>
    <w:rsid w:val="00EC550E"/>
    <w:rsid w:val="00EC5653"/>
    <w:rsid w:val="00EC5953"/>
    <w:rsid w:val="00EC5E35"/>
    <w:rsid w:val="00EC71CE"/>
    <w:rsid w:val="00EC75AC"/>
    <w:rsid w:val="00EC7997"/>
    <w:rsid w:val="00EC7BBA"/>
    <w:rsid w:val="00EC7E51"/>
    <w:rsid w:val="00ED1006"/>
    <w:rsid w:val="00ED1E74"/>
    <w:rsid w:val="00ED2049"/>
    <w:rsid w:val="00ED2240"/>
    <w:rsid w:val="00ED2A4B"/>
    <w:rsid w:val="00ED2F92"/>
    <w:rsid w:val="00ED3D10"/>
    <w:rsid w:val="00ED43BC"/>
    <w:rsid w:val="00ED4F1C"/>
    <w:rsid w:val="00ED4F2B"/>
    <w:rsid w:val="00ED5D67"/>
    <w:rsid w:val="00ED7965"/>
    <w:rsid w:val="00EE1386"/>
    <w:rsid w:val="00EE1C5A"/>
    <w:rsid w:val="00EE2A91"/>
    <w:rsid w:val="00EE3403"/>
    <w:rsid w:val="00EE45BA"/>
    <w:rsid w:val="00EE4BEC"/>
    <w:rsid w:val="00EE4D79"/>
    <w:rsid w:val="00EE56BF"/>
    <w:rsid w:val="00EE6BF3"/>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209F"/>
    <w:rsid w:val="00F32DDC"/>
    <w:rsid w:val="00F32E83"/>
    <w:rsid w:val="00F33202"/>
    <w:rsid w:val="00F3334B"/>
    <w:rsid w:val="00F3358C"/>
    <w:rsid w:val="00F33617"/>
    <w:rsid w:val="00F339F4"/>
    <w:rsid w:val="00F33BC9"/>
    <w:rsid w:val="00F33BF3"/>
    <w:rsid w:val="00F3414F"/>
    <w:rsid w:val="00F348E4"/>
    <w:rsid w:val="00F356E5"/>
    <w:rsid w:val="00F356ED"/>
    <w:rsid w:val="00F35A34"/>
    <w:rsid w:val="00F35C0E"/>
    <w:rsid w:val="00F3677A"/>
    <w:rsid w:val="00F36CD8"/>
    <w:rsid w:val="00F36D15"/>
    <w:rsid w:val="00F37089"/>
    <w:rsid w:val="00F371C7"/>
    <w:rsid w:val="00F3752C"/>
    <w:rsid w:val="00F378E5"/>
    <w:rsid w:val="00F400C5"/>
    <w:rsid w:val="00F40F0C"/>
    <w:rsid w:val="00F41020"/>
    <w:rsid w:val="00F41E77"/>
    <w:rsid w:val="00F424EF"/>
    <w:rsid w:val="00F42508"/>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908"/>
    <w:rsid w:val="00F67DCA"/>
    <w:rsid w:val="00F67F53"/>
    <w:rsid w:val="00F703BE"/>
    <w:rsid w:val="00F70613"/>
    <w:rsid w:val="00F70B90"/>
    <w:rsid w:val="00F70D44"/>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382"/>
    <w:rsid w:val="00FA342B"/>
    <w:rsid w:val="00FA4852"/>
    <w:rsid w:val="00FA504B"/>
    <w:rsid w:val="00FA5403"/>
    <w:rsid w:val="00FA5F8B"/>
    <w:rsid w:val="00FA6074"/>
    <w:rsid w:val="00FA6081"/>
    <w:rsid w:val="00FA643F"/>
    <w:rsid w:val="00FA64DC"/>
    <w:rsid w:val="00FA6845"/>
    <w:rsid w:val="00FA6FF0"/>
    <w:rsid w:val="00FA76D2"/>
    <w:rsid w:val="00FB11B5"/>
    <w:rsid w:val="00FB3141"/>
    <w:rsid w:val="00FB32B9"/>
    <w:rsid w:val="00FB3B83"/>
    <w:rsid w:val="00FB465B"/>
    <w:rsid w:val="00FB4906"/>
    <w:rsid w:val="00FB4C80"/>
    <w:rsid w:val="00FB5061"/>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3C6F"/>
    <w:rsid w:val="00FC4E91"/>
    <w:rsid w:val="00FC5095"/>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500A"/>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25F"/>
    <w:rsid w:val="00FE53FC"/>
    <w:rsid w:val="00FE5571"/>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85F7D5A5-0720-4049-ADEB-1D2AFA3A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46073E84-520D-49E8-9897-43E44EC08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2f282d3b-eb4a-4b09-b61f-b9593442e286"/>
    <ds:schemaRef ds:uri="http://schemas.microsoft.com/office/2006/metadata/properties"/>
    <ds:schemaRef ds:uri="http://purl.org/dc/dcmitype/"/>
    <ds:schemaRef ds:uri="http://schemas.microsoft.com/office/2006/documentManagement/types"/>
    <ds:schemaRef ds:uri="http://www.w3.org/XML/1998/namespace"/>
    <ds:schemaRef ds:uri="d8762117-8292-4133-b1c7-eab5c6487cfd"/>
    <ds:schemaRef ds:uri="http://schemas.microsoft.com/office/infopath/2007/PartnerControls"/>
    <ds:schemaRef ds:uri="http://schemas.openxmlformats.org/package/2006/metadata/core-properties"/>
    <ds:schemaRef ds:uri="http://purl.org/dc/elements/1.1/"/>
    <ds:schemaRef ds:uri="9b239327-9e80-40e4-b1b7-4394fed77a33"/>
    <ds:schemaRef ds:uri="http://schemas.microsoft.com/sharepoint/v3"/>
    <ds:schemaRef ds:uri="http://purl.org/dc/term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10</Pages>
  <Words>4212</Words>
  <Characters>24011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28167</CharactersWithSpaces>
  <SharedDoc>false</SharedDoc>
  <HLinks>
    <vt:vector size="102" baseType="variant">
      <vt:variant>
        <vt:i4>1441840</vt:i4>
      </vt:variant>
      <vt:variant>
        <vt:i4>80</vt:i4>
      </vt:variant>
      <vt:variant>
        <vt:i4>0</vt:i4>
      </vt:variant>
      <vt:variant>
        <vt:i4>5</vt:i4>
      </vt:variant>
      <vt:variant>
        <vt:lpwstr/>
      </vt:variant>
      <vt:variant>
        <vt:lpwstr>_Toc134437619</vt:lpwstr>
      </vt:variant>
      <vt:variant>
        <vt:i4>1441840</vt:i4>
      </vt:variant>
      <vt:variant>
        <vt:i4>77</vt:i4>
      </vt:variant>
      <vt:variant>
        <vt:i4>0</vt:i4>
      </vt:variant>
      <vt:variant>
        <vt:i4>5</vt:i4>
      </vt:variant>
      <vt:variant>
        <vt:lpwstr/>
      </vt:variant>
      <vt:variant>
        <vt:lpwstr>_Toc134437618</vt:lpwstr>
      </vt:variant>
      <vt:variant>
        <vt:i4>1441840</vt:i4>
      </vt:variant>
      <vt:variant>
        <vt:i4>74</vt:i4>
      </vt:variant>
      <vt:variant>
        <vt:i4>0</vt:i4>
      </vt:variant>
      <vt:variant>
        <vt:i4>5</vt:i4>
      </vt:variant>
      <vt:variant>
        <vt:lpwstr/>
      </vt:variant>
      <vt:variant>
        <vt:lpwstr>_Toc134437617</vt:lpwstr>
      </vt:variant>
      <vt:variant>
        <vt:i4>1441840</vt:i4>
      </vt:variant>
      <vt:variant>
        <vt:i4>71</vt:i4>
      </vt:variant>
      <vt:variant>
        <vt:i4>0</vt:i4>
      </vt:variant>
      <vt:variant>
        <vt:i4>5</vt:i4>
      </vt:variant>
      <vt:variant>
        <vt:lpwstr/>
      </vt:variant>
      <vt:variant>
        <vt:lpwstr>_Toc134437616</vt:lpwstr>
      </vt:variant>
      <vt:variant>
        <vt:i4>1441840</vt:i4>
      </vt:variant>
      <vt:variant>
        <vt:i4>68</vt:i4>
      </vt:variant>
      <vt:variant>
        <vt:i4>0</vt:i4>
      </vt:variant>
      <vt:variant>
        <vt:i4>5</vt:i4>
      </vt:variant>
      <vt:variant>
        <vt:lpwstr/>
      </vt:variant>
      <vt:variant>
        <vt:lpwstr>_Toc134437615</vt:lpwstr>
      </vt:variant>
      <vt:variant>
        <vt:i4>1441840</vt:i4>
      </vt:variant>
      <vt:variant>
        <vt:i4>65</vt:i4>
      </vt:variant>
      <vt:variant>
        <vt:i4>0</vt:i4>
      </vt:variant>
      <vt:variant>
        <vt:i4>5</vt:i4>
      </vt:variant>
      <vt:variant>
        <vt:lpwstr/>
      </vt:variant>
      <vt:variant>
        <vt:lpwstr>_Toc134437614</vt:lpwstr>
      </vt:variant>
      <vt:variant>
        <vt:i4>1441840</vt:i4>
      </vt:variant>
      <vt:variant>
        <vt:i4>62</vt:i4>
      </vt:variant>
      <vt:variant>
        <vt:i4>0</vt:i4>
      </vt:variant>
      <vt:variant>
        <vt:i4>5</vt:i4>
      </vt:variant>
      <vt:variant>
        <vt:lpwstr/>
      </vt:variant>
      <vt:variant>
        <vt:lpwstr>_Toc134437613</vt:lpwstr>
      </vt:variant>
      <vt:variant>
        <vt:i4>1441840</vt:i4>
      </vt:variant>
      <vt:variant>
        <vt:i4>59</vt:i4>
      </vt:variant>
      <vt:variant>
        <vt:i4>0</vt:i4>
      </vt:variant>
      <vt:variant>
        <vt:i4>5</vt:i4>
      </vt:variant>
      <vt:variant>
        <vt:lpwstr/>
      </vt:variant>
      <vt:variant>
        <vt:lpwstr>_Toc134437612</vt:lpwstr>
      </vt:variant>
      <vt:variant>
        <vt:i4>1441840</vt:i4>
      </vt:variant>
      <vt:variant>
        <vt:i4>56</vt:i4>
      </vt:variant>
      <vt:variant>
        <vt:i4>0</vt:i4>
      </vt:variant>
      <vt:variant>
        <vt:i4>5</vt:i4>
      </vt:variant>
      <vt:variant>
        <vt:lpwstr/>
      </vt:variant>
      <vt:variant>
        <vt:lpwstr>_Toc134437611</vt:lpwstr>
      </vt:variant>
      <vt:variant>
        <vt:i4>1441840</vt:i4>
      </vt:variant>
      <vt:variant>
        <vt:i4>50</vt:i4>
      </vt:variant>
      <vt:variant>
        <vt:i4>0</vt:i4>
      </vt:variant>
      <vt:variant>
        <vt:i4>5</vt:i4>
      </vt:variant>
      <vt:variant>
        <vt:lpwstr/>
      </vt:variant>
      <vt:variant>
        <vt:lpwstr>_Toc134437610</vt:lpwstr>
      </vt:variant>
      <vt:variant>
        <vt:i4>1507376</vt:i4>
      </vt:variant>
      <vt:variant>
        <vt:i4>47</vt:i4>
      </vt:variant>
      <vt:variant>
        <vt:i4>0</vt:i4>
      </vt:variant>
      <vt:variant>
        <vt:i4>5</vt:i4>
      </vt:variant>
      <vt:variant>
        <vt:lpwstr/>
      </vt:variant>
      <vt:variant>
        <vt:lpwstr>_Toc134437609</vt:lpwstr>
      </vt:variant>
      <vt:variant>
        <vt:i4>1507376</vt:i4>
      </vt:variant>
      <vt:variant>
        <vt:i4>44</vt:i4>
      </vt:variant>
      <vt:variant>
        <vt:i4>0</vt:i4>
      </vt:variant>
      <vt:variant>
        <vt:i4>5</vt:i4>
      </vt:variant>
      <vt:variant>
        <vt:lpwstr/>
      </vt:variant>
      <vt:variant>
        <vt:lpwstr>_Toc134437608</vt:lpwstr>
      </vt:variant>
      <vt:variant>
        <vt:i4>1507376</vt:i4>
      </vt:variant>
      <vt:variant>
        <vt:i4>41</vt:i4>
      </vt:variant>
      <vt:variant>
        <vt:i4>0</vt:i4>
      </vt:variant>
      <vt:variant>
        <vt:i4>5</vt:i4>
      </vt:variant>
      <vt:variant>
        <vt:lpwstr/>
      </vt:variant>
      <vt:variant>
        <vt:lpwstr>_Toc134437607</vt:lpwstr>
      </vt:variant>
      <vt:variant>
        <vt:i4>1507376</vt:i4>
      </vt:variant>
      <vt:variant>
        <vt:i4>38</vt:i4>
      </vt:variant>
      <vt:variant>
        <vt:i4>0</vt:i4>
      </vt:variant>
      <vt:variant>
        <vt:i4>5</vt:i4>
      </vt:variant>
      <vt:variant>
        <vt:lpwstr/>
      </vt:variant>
      <vt:variant>
        <vt:lpwstr>_Toc134437606</vt:lpwstr>
      </vt:variant>
      <vt:variant>
        <vt:i4>1507376</vt:i4>
      </vt:variant>
      <vt:variant>
        <vt:i4>35</vt:i4>
      </vt:variant>
      <vt:variant>
        <vt:i4>0</vt:i4>
      </vt:variant>
      <vt:variant>
        <vt:i4>5</vt:i4>
      </vt:variant>
      <vt:variant>
        <vt:lpwstr/>
      </vt:variant>
      <vt:variant>
        <vt:lpwstr>_Toc134437605</vt:lpwstr>
      </vt:variant>
      <vt:variant>
        <vt:i4>1507376</vt:i4>
      </vt:variant>
      <vt:variant>
        <vt:i4>32</vt:i4>
      </vt:variant>
      <vt:variant>
        <vt:i4>0</vt:i4>
      </vt:variant>
      <vt:variant>
        <vt:i4>5</vt:i4>
      </vt:variant>
      <vt:variant>
        <vt:lpwstr/>
      </vt:variant>
      <vt:variant>
        <vt:lpwstr>_Toc134437604</vt:lpwstr>
      </vt:variant>
      <vt:variant>
        <vt:i4>1507376</vt:i4>
      </vt:variant>
      <vt:variant>
        <vt:i4>29</vt:i4>
      </vt:variant>
      <vt:variant>
        <vt:i4>0</vt:i4>
      </vt:variant>
      <vt:variant>
        <vt:i4>5</vt:i4>
      </vt:variant>
      <vt:variant>
        <vt:lpwstr/>
      </vt:variant>
      <vt:variant>
        <vt:lpwstr>_Toc134437603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cp:lastModifiedBy>
  <cp:revision>4</cp:revision>
  <cp:lastPrinted>2018-03-23T07:00:00Z</cp:lastPrinted>
  <dcterms:created xsi:type="dcterms:W3CDTF">2023-05-11T23:29:00Z</dcterms:created>
  <dcterms:modified xsi:type="dcterms:W3CDTF">2023-05-11T23:33:00Z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